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7A3" w:rsidRDefault="00934B19">
      <w:r>
        <w:t>Notes on Figures</w:t>
      </w:r>
    </w:p>
    <w:p w:rsidR="00485467" w:rsidRDefault="00562CFA" w:rsidP="00485467">
      <w:r>
        <w:rPr>
          <w:b/>
        </w:rPr>
        <w:t>Fig_L_AqVuln.jpg</w:t>
      </w:r>
      <w:r>
        <w:t xml:space="preserve">    </w:t>
      </w:r>
      <w:r w:rsidR="00934B19" w:rsidRPr="006307AD">
        <w:rPr>
          <w:b/>
        </w:rPr>
        <w:t>LAVA</w:t>
      </w:r>
      <w:r w:rsidR="00485467">
        <w:t>:</w:t>
      </w:r>
      <w:r w:rsidR="00934B19">
        <w:t xml:space="preserve"> </w:t>
      </w:r>
      <w:r w:rsidR="001B71D1">
        <w:t xml:space="preserve">(full report </w:t>
      </w:r>
      <w:hyperlink r:id="rId6" w:history="1">
        <w:r w:rsidR="001B71D1" w:rsidRPr="0093362B">
          <w:rPr>
            <w:rStyle w:val="Hyperlink"/>
          </w:rPr>
          <w:t>http://www.adgeo.net/content/lava/LAVA_Report_v1.1.pdf</w:t>
        </w:r>
      </w:hyperlink>
      <w:r w:rsidR="001B71D1">
        <w:t xml:space="preserve">) </w:t>
      </w:r>
      <w:r w:rsidR="00485467">
        <w:t xml:space="preserve">Using evidential themes representing effective karst, overburden on FAS, and soil hydraulic conductivity, weights of evidence was applied to generate a response theme (Figure 18), which is a GIS raster consisting of </w:t>
      </w:r>
      <w:r w:rsidR="00485467" w:rsidRPr="00FB1F49">
        <w:rPr>
          <w:i/>
        </w:rPr>
        <w:t>posterior probability</w:t>
      </w:r>
      <w:r w:rsidR="00485467">
        <w:t xml:space="preserve"> values ranging from 0.00219 to 0.05295 across the study area. These probability values describe the relative probability that a unit area of the model will contain a training point – i.e., a point of aquifer vulnerability as defined above in </w:t>
      </w:r>
      <w:r w:rsidR="00485467" w:rsidRPr="006D0DF6">
        <w:rPr>
          <w:i/>
        </w:rPr>
        <w:t>Training Points</w:t>
      </w:r>
      <w:r w:rsidR="00485467">
        <w:t xml:space="preserve"> – with respect to the prior probability value of 0.01030. Prior probability is the probability that a training point will occupy a defined unit area within the study area, independent of evidential theme data. Probability values at the locations of </w:t>
      </w:r>
      <w:r w:rsidR="00485467" w:rsidRPr="00796868">
        <w:t>14 of the</w:t>
      </w:r>
      <w:r w:rsidR="00485467">
        <w:t xml:space="preserve"> 18 training points are above the prior probability, indicating that this model is a strong predictor of training point locations.</w:t>
      </w:r>
    </w:p>
    <w:p w:rsidR="00485467" w:rsidRDefault="00485467" w:rsidP="00485467">
      <w:r>
        <w:rPr>
          <w:noProof/>
        </w:rPr>
        <w:drawing>
          <wp:inline distT="0" distB="0" distL="0" distR="0" wp14:anchorId="66BDF913" wp14:editId="54EDFDB0">
            <wp:extent cx="5943600" cy="35731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573145"/>
                    </a:xfrm>
                    <a:prstGeom prst="rect">
                      <a:avLst/>
                    </a:prstGeom>
                  </pic:spPr>
                </pic:pic>
              </a:graphicData>
            </a:graphic>
          </wp:inline>
        </w:drawing>
      </w:r>
    </w:p>
    <w:p w:rsidR="00485467" w:rsidRDefault="00485467" w:rsidP="00485467">
      <w:r>
        <w:t xml:space="preserve">The response theme was broken into classes of relative vulnerability based on the prior probability value and on inflections in a chart in which cumulative study area was plotted against posterior probability (Figure 19 below).  Higher posterior probability values correspond with more vulnerable areas, as they essentially have a higher chance of containing vulnerability based on the definition of a training point. Conversely, lower posterior probability values correspond to less vulnerable areas as they essentially have a lower chance of containing vulnerability based on the definition of a training point. </w:t>
      </w:r>
    </w:p>
    <w:p w:rsidR="00485467" w:rsidRDefault="00485467" w:rsidP="00485467">
      <w:r>
        <w:rPr>
          <w:noProof/>
        </w:rPr>
        <w:lastRenderedPageBreak/>
        <w:drawing>
          <wp:inline distT="0" distB="0" distL="0" distR="0">
            <wp:extent cx="5753100" cy="4048125"/>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85467" w:rsidRPr="00B170A7" w:rsidRDefault="00485467" w:rsidP="00485467">
      <w:pPr>
        <w:pStyle w:val="Caption"/>
      </w:pPr>
      <w:bookmarkStart w:id="0" w:name="_Toc171155600"/>
      <w:proofErr w:type="gramStart"/>
      <w:r>
        <w:t>Figure 19.</w:t>
      </w:r>
      <w:proofErr w:type="gramEnd"/>
      <w:r w:rsidRPr="00B170A7">
        <w:t xml:space="preserve"> </w:t>
      </w:r>
      <w:r>
        <w:t>Vulnerability c</w:t>
      </w:r>
      <w:r w:rsidRPr="00B170A7">
        <w:t>lass breaks</w:t>
      </w:r>
      <w:r>
        <w:t xml:space="preserve"> are defined by selecting </w:t>
      </w:r>
      <w:r w:rsidRPr="00B170A7">
        <w:t xml:space="preserve">where a significant increase in probability and area </w:t>
      </w:r>
      <w:r>
        <w:t>are</w:t>
      </w:r>
      <w:r w:rsidRPr="00B170A7">
        <w:t xml:space="preserve"> observed.</w:t>
      </w:r>
      <w:bookmarkEnd w:id="0"/>
      <w:r w:rsidRPr="00B170A7">
        <w:t xml:space="preserve"> </w:t>
      </w:r>
    </w:p>
    <w:p w:rsidR="00485467" w:rsidRDefault="00485467" w:rsidP="00485467"/>
    <w:p w:rsidR="00485467" w:rsidRDefault="00485467" w:rsidP="00485467">
      <w:pPr>
        <w:pBdr>
          <w:bottom w:val="single" w:sz="12" w:space="1" w:color="auto"/>
        </w:pBdr>
      </w:pPr>
      <w:r>
        <w:t xml:space="preserve">As expected, the LAVA model response theme indicates that the areas of highest vulnerability are associated with areas where the overburden on the FAS is thin to absent, of dense effective karst-feature distribution, and of higher soil hydraulic conductivity. Conversely, areas of lowest vulnerability are determined by thicker overburden sediments, sparse karst-feature distribution, and lower soil hydraulic conductivity values. </w:t>
      </w:r>
    </w:p>
    <w:p w:rsidR="009B3A01" w:rsidRPr="009B3A01" w:rsidRDefault="00562CFA" w:rsidP="009B3A01">
      <w:pPr>
        <w:shd w:val="clear" w:color="auto" w:fill="FFFFFF"/>
        <w:rPr>
          <w:rFonts w:ascii="Verdana" w:eastAsia="Times New Roman" w:hAnsi="Verdana" w:cs="Times New Roman"/>
          <w:color w:val="00008B"/>
          <w:sz w:val="20"/>
          <w:szCs w:val="20"/>
        </w:rPr>
      </w:pPr>
      <w:r>
        <w:rPr>
          <w:b/>
        </w:rPr>
        <w:t>Fig_Existing.jpg</w:t>
      </w:r>
      <w:r>
        <w:t xml:space="preserve">   </w:t>
      </w:r>
      <w:r w:rsidR="00934B19" w:rsidRPr="00934B19">
        <w:rPr>
          <w:b/>
        </w:rPr>
        <w:t>Existing Land Use</w:t>
      </w:r>
      <w:r w:rsidR="00934B19">
        <w:t xml:space="preserve">: Existing land use layer for the model was taken from the TLCGIS Data Hub </w:t>
      </w:r>
      <w:r w:rsidR="009B3A01">
        <w:t>(</w:t>
      </w:r>
      <w:hyperlink r:id="rId9" w:history="1">
        <w:r w:rsidR="009B3A01">
          <w:rPr>
            <w:rStyle w:val="Hyperlink"/>
          </w:rPr>
          <w:t>https://geodata-tlcgis.opendata.arcgis.com/datasets/existing-land-use-2018</w:t>
        </w:r>
      </w:hyperlink>
      <w:r w:rsidR="009B3A01">
        <w:t xml:space="preserve">). From the TLCGIS metadata: </w:t>
      </w:r>
    </w:p>
    <w:p w:rsidR="00934B19" w:rsidRDefault="009B3A01" w:rsidP="009B3A01">
      <w:r w:rsidRPr="009B3A01">
        <w:rPr>
          <w:rFonts w:ascii="Courier New" w:eastAsia="Times New Roman" w:hAnsi="Courier New" w:cs="Courier New"/>
          <w:i/>
          <w:color w:val="00008B"/>
          <w:sz w:val="20"/>
          <w:szCs w:val="20"/>
        </w:rPr>
        <w:t>The Existing Land Use Map was developed by the</w:t>
      </w:r>
      <w:r>
        <w:rPr>
          <w:rFonts w:ascii="Courier New" w:eastAsia="Times New Roman" w:hAnsi="Courier New" w:cs="Courier New"/>
          <w:i/>
          <w:color w:val="00008B"/>
          <w:sz w:val="20"/>
          <w:szCs w:val="20"/>
        </w:rPr>
        <w:t xml:space="preserve"> </w:t>
      </w:r>
      <w:r w:rsidRPr="009B3A01">
        <w:rPr>
          <w:rFonts w:ascii="Courier New" w:eastAsia="Times New Roman" w:hAnsi="Courier New" w:cs="Courier New"/>
          <w:i/>
          <w:color w:val="00008B"/>
          <w:sz w:val="20"/>
          <w:szCs w:val="20"/>
        </w:rPr>
        <w:t>Tallahassee-Leon County Planning Department in the 1970s and has been updated</w:t>
      </w:r>
      <w:r>
        <w:rPr>
          <w:rFonts w:ascii="Courier New" w:eastAsia="Times New Roman" w:hAnsi="Courier New" w:cs="Courier New"/>
          <w:i/>
          <w:color w:val="00008B"/>
          <w:sz w:val="20"/>
          <w:szCs w:val="20"/>
        </w:rPr>
        <w:t xml:space="preserve"> </w:t>
      </w:r>
      <w:r w:rsidRPr="009B3A01">
        <w:rPr>
          <w:rFonts w:ascii="Courier New" w:eastAsia="Times New Roman" w:hAnsi="Courier New" w:cs="Courier New"/>
          <w:i/>
          <w:color w:val="00008B"/>
          <w:sz w:val="20"/>
          <w:szCs w:val="20"/>
        </w:rPr>
        <w:t>annually since 2005 to reflect changes in current land use. Existing land use is parcel based with each parcel assigned</w:t>
      </w:r>
      <w:r>
        <w:rPr>
          <w:rFonts w:ascii="Courier New" w:eastAsia="Times New Roman" w:hAnsi="Courier New" w:cs="Courier New"/>
          <w:i/>
          <w:color w:val="00008B"/>
          <w:sz w:val="20"/>
          <w:szCs w:val="20"/>
        </w:rPr>
        <w:t xml:space="preserve"> </w:t>
      </w:r>
      <w:r w:rsidRPr="009B3A01">
        <w:rPr>
          <w:rFonts w:ascii="Courier New" w:eastAsia="Times New Roman" w:hAnsi="Courier New" w:cs="Courier New"/>
          <w:i/>
          <w:color w:val="00008B"/>
          <w:sz w:val="20"/>
          <w:szCs w:val="20"/>
        </w:rPr>
        <w:t>a single land use. Utilizing new construction permits completed in the past</w:t>
      </w:r>
      <w:r>
        <w:rPr>
          <w:rFonts w:ascii="Courier New" w:eastAsia="Times New Roman" w:hAnsi="Courier New" w:cs="Courier New"/>
          <w:i/>
          <w:color w:val="00008B"/>
          <w:sz w:val="20"/>
          <w:szCs w:val="20"/>
        </w:rPr>
        <w:t xml:space="preserve"> </w:t>
      </w:r>
      <w:r w:rsidRPr="009B3A01">
        <w:rPr>
          <w:rFonts w:ascii="Courier New" w:eastAsia="Times New Roman" w:hAnsi="Courier New" w:cs="Courier New"/>
          <w:i/>
          <w:color w:val="00008B"/>
          <w:sz w:val="20"/>
          <w:szCs w:val="20"/>
        </w:rPr>
        <w:t>year, the land use for parcels are updated to reflect the new construction (</w:t>
      </w:r>
      <w:proofErr w:type="spellStart"/>
      <w:r w:rsidRPr="009B3A01">
        <w:rPr>
          <w:rFonts w:ascii="Courier New" w:eastAsia="Times New Roman" w:hAnsi="Courier New" w:cs="Courier New"/>
          <w:i/>
          <w:color w:val="00008B"/>
          <w:sz w:val="20"/>
          <w:szCs w:val="20"/>
        </w:rPr>
        <w:t>ordemolition</w:t>
      </w:r>
      <w:proofErr w:type="spellEnd"/>
      <w:r w:rsidRPr="009B3A01">
        <w:rPr>
          <w:rFonts w:ascii="Courier New" w:eastAsia="Times New Roman" w:hAnsi="Courier New" w:cs="Courier New"/>
          <w:i/>
          <w:color w:val="00008B"/>
          <w:sz w:val="20"/>
          <w:szCs w:val="20"/>
        </w:rPr>
        <w:t xml:space="preserve">) that was </w:t>
      </w:r>
      <w:proofErr w:type="spellStart"/>
      <w:r w:rsidRPr="009B3A01">
        <w:rPr>
          <w:rFonts w:ascii="Courier New" w:eastAsia="Times New Roman" w:hAnsi="Courier New" w:cs="Courier New"/>
          <w:i/>
          <w:color w:val="00008B"/>
          <w:sz w:val="20"/>
          <w:szCs w:val="20"/>
        </w:rPr>
        <w:t>completed.The</w:t>
      </w:r>
      <w:proofErr w:type="spellEnd"/>
      <w:r w:rsidRPr="009B3A01">
        <w:rPr>
          <w:rFonts w:ascii="Courier New" w:eastAsia="Times New Roman" w:hAnsi="Courier New" w:cs="Courier New"/>
          <w:i/>
          <w:color w:val="00008B"/>
          <w:sz w:val="20"/>
          <w:szCs w:val="20"/>
        </w:rPr>
        <w:t xml:space="preserve"> existing land use classification is comprised of 20</w:t>
      </w:r>
      <w:r>
        <w:rPr>
          <w:rFonts w:ascii="Courier New" w:eastAsia="Times New Roman" w:hAnsi="Courier New" w:cs="Courier New"/>
          <w:i/>
          <w:color w:val="00008B"/>
          <w:sz w:val="20"/>
          <w:szCs w:val="20"/>
        </w:rPr>
        <w:t xml:space="preserve"> </w:t>
      </w:r>
      <w:r w:rsidRPr="009B3A01">
        <w:rPr>
          <w:rFonts w:ascii="Courier New" w:eastAsia="Times New Roman" w:hAnsi="Courier New" w:cs="Courier New"/>
          <w:i/>
          <w:color w:val="00008B"/>
          <w:sz w:val="20"/>
          <w:szCs w:val="20"/>
        </w:rPr>
        <w:t xml:space="preserve">primary land use categories: Single-Family Detached, Single-Family Attached, Two-Family Dwelling, Multi-Family, Hotel-Motel, Medical, Retail, </w:t>
      </w:r>
      <w:proofErr w:type="spellStart"/>
      <w:r w:rsidRPr="009B3A01">
        <w:rPr>
          <w:rFonts w:ascii="Courier New" w:eastAsia="Times New Roman" w:hAnsi="Courier New" w:cs="Courier New"/>
          <w:i/>
          <w:color w:val="00008B"/>
          <w:sz w:val="20"/>
          <w:szCs w:val="20"/>
        </w:rPr>
        <w:t>Office,W</w:t>
      </w:r>
      <w:r>
        <w:rPr>
          <w:rFonts w:ascii="Courier New" w:eastAsia="Times New Roman" w:hAnsi="Courier New" w:cs="Courier New"/>
          <w:i/>
          <w:color w:val="00008B"/>
          <w:sz w:val="20"/>
          <w:szCs w:val="20"/>
        </w:rPr>
        <w:t>arehouse</w:t>
      </w:r>
      <w:proofErr w:type="spellEnd"/>
      <w:r>
        <w:rPr>
          <w:rFonts w:ascii="Courier New" w:eastAsia="Times New Roman" w:hAnsi="Courier New" w:cs="Courier New"/>
          <w:i/>
          <w:color w:val="00008B"/>
          <w:sz w:val="20"/>
          <w:szCs w:val="20"/>
        </w:rPr>
        <w:t xml:space="preserve">, Government </w:t>
      </w:r>
      <w:proofErr w:type="spellStart"/>
      <w:r w:rsidRPr="009B3A01">
        <w:rPr>
          <w:rFonts w:ascii="Courier New" w:eastAsia="Times New Roman" w:hAnsi="Courier New" w:cs="Courier New"/>
          <w:i/>
          <w:color w:val="00008B"/>
          <w:sz w:val="20"/>
          <w:szCs w:val="20"/>
        </w:rPr>
        <w:t>Operation,Schools</w:t>
      </w:r>
      <w:proofErr w:type="spellEnd"/>
      <w:r>
        <w:rPr>
          <w:rFonts w:ascii="Courier New" w:eastAsia="Times New Roman" w:hAnsi="Courier New" w:cs="Courier New"/>
          <w:i/>
          <w:color w:val="00008B"/>
          <w:sz w:val="20"/>
          <w:szCs w:val="20"/>
        </w:rPr>
        <w:t xml:space="preserve"> </w:t>
      </w:r>
      <w:r w:rsidRPr="009B3A01">
        <w:rPr>
          <w:rFonts w:ascii="Courier New" w:eastAsia="Times New Roman" w:hAnsi="Courier New" w:cs="Courier New"/>
          <w:i/>
          <w:color w:val="00008B"/>
          <w:sz w:val="20"/>
          <w:szCs w:val="20"/>
        </w:rPr>
        <w:t>/</w:t>
      </w:r>
      <w:r>
        <w:rPr>
          <w:rFonts w:ascii="Courier New" w:eastAsia="Times New Roman" w:hAnsi="Courier New" w:cs="Courier New"/>
          <w:i/>
          <w:color w:val="00008B"/>
          <w:sz w:val="20"/>
          <w:szCs w:val="20"/>
        </w:rPr>
        <w:t xml:space="preserve"> </w:t>
      </w:r>
      <w:r w:rsidRPr="009B3A01">
        <w:rPr>
          <w:rFonts w:ascii="Courier New" w:eastAsia="Times New Roman" w:hAnsi="Courier New" w:cs="Courier New"/>
          <w:i/>
          <w:color w:val="00008B"/>
          <w:sz w:val="20"/>
          <w:szCs w:val="20"/>
        </w:rPr>
        <w:lastRenderedPageBreak/>
        <w:t>Colleges</w:t>
      </w:r>
      <w:r>
        <w:rPr>
          <w:rFonts w:ascii="Courier New" w:eastAsia="Times New Roman" w:hAnsi="Courier New" w:cs="Courier New"/>
          <w:i/>
          <w:color w:val="00008B"/>
          <w:sz w:val="20"/>
          <w:szCs w:val="20"/>
        </w:rPr>
        <w:t xml:space="preserve"> </w:t>
      </w:r>
      <w:r w:rsidRPr="009B3A01">
        <w:rPr>
          <w:rFonts w:ascii="Courier New" w:eastAsia="Times New Roman" w:hAnsi="Courier New" w:cs="Courier New"/>
          <w:i/>
          <w:color w:val="00008B"/>
          <w:sz w:val="20"/>
          <w:szCs w:val="20"/>
        </w:rPr>
        <w:t>/</w:t>
      </w:r>
      <w:r>
        <w:rPr>
          <w:rFonts w:ascii="Courier New" w:eastAsia="Times New Roman" w:hAnsi="Courier New" w:cs="Courier New"/>
          <w:i/>
          <w:color w:val="00008B"/>
          <w:sz w:val="20"/>
          <w:szCs w:val="20"/>
        </w:rPr>
        <w:t xml:space="preserve"> </w:t>
      </w:r>
      <w:r w:rsidRPr="009B3A01">
        <w:rPr>
          <w:rFonts w:ascii="Courier New" w:eastAsia="Times New Roman" w:hAnsi="Courier New" w:cs="Courier New"/>
          <w:i/>
          <w:color w:val="00008B"/>
          <w:sz w:val="20"/>
          <w:szCs w:val="20"/>
        </w:rPr>
        <w:t>Universities,</w:t>
      </w:r>
      <w:r>
        <w:rPr>
          <w:rFonts w:ascii="Courier New" w:eastAsia="Times New Roman" w:hAnsi="Courier New" w:cs="Courier New"/>
          <w:i/>
          <w:color w:val="00008B"/>
          <w:sz w:val="20"/>
          <w:szCs w:val="20"/>
        </w:rPr>
        <w:t xml:space="preserve"> </w:t>
      </w:r>
      <w:r w:rsidRPr="009B3A01">
        <w:rPr>
          <w:rFonts w:ascii="Courier New" w:eastAsia="Times New Roman" w:hAnsi="Courier New" w:cs="Courier New"/>
          <w:i/>
          <w:color w:val="00008B"/>
          <w:sz w:val="20"/>
          <w:szCs w:val="20"/>
        </w:rPr>
        <w:t>Open Space (5</w:t>
      </w:r>
      <w:r>
        <w:rPr>
          <w:rFonts w:ascii="Courier New" w:eastAsia="Times New Roman" w:hAnsi="Courier New" w:cs="Courier New"/>
          <w:i/>
          <w:color w:val="00008B"/>
          <w:sz w:val="20"/>
          <w:szCs w:val="20"/>
        </w:rPr>
        <w:t xml:space="preserve"> </w:t>
      </w:r>
      <w:r w:rsidRPr="009B3A01">
        <w:rPr>
          <w:rFonts w:ascii="Courier New" w:eastAsia="Times New Roman" w:hAnsi="Courier New" w:cs="Courier New"/>
          <w:i/>
          <w:color w:val="00008B"/>
          <w:sz w:val="20"/>
          <w:szCs w:val="20"/>
        </w:rPr>
        <w:t>categories),Religious-Non-Profit,Transportation/Communications/Utilities,Water,Vacant,Each land use category is further broken down into 49</w:t>
      </w:r>
      <w:r>
        <w:rPr>
          <w:rFonts w:ascii="Courier New" w:eastAsia="Times New Roman" w:hAnsi="Courier New" w:cs="Courier New"/>
          <w:i/>
          <w:color w:val="00008B"/>
          <w:sz w:val="20"/>
          <w:szCs w:val="20"/>
        </w:rPr>
        <w:t xml:space="preserve"> </w:t>
      </w:r>
      <w:r w:rsidRPr="009B3A01">
        <w:rPr>
          <w:rFonts w:ascii="Courier New" w:eastAsia="Times New Roman" w:hAnsi="Courier New" w:cs="Courier New"/>
          <w:i/>
          <w:color w:val="00008B"/>
          <w:sz w:val="20"/>
          <w:szCs w:val="20"/>
        </w:rPr>
        <w:t>sub-types or “</w:t>
      </w:r>
      <w:proofErr w:type="spellStart"/>
      <w:r w:rsidRPr="009B3A01">
        <w:rPr>
          <w:rFonts w:ascii="Courier New" w:eastAsia="Times New Roman" w:hAnsi="Courier New" w:cs="Courier New"/>
          <w:i/>
          <w:color w:val="00008B"/>
          <w:sz w:val="20"/>
          <w:szCs w:val="20"/>
        </w:rPr>
        <w:t>patterns”.Every</w:t>
      </w:r>
      <w:proofErr w:type="spellEnd"/>
      <w:r>
        <w:rPr>
          <w:rFonts w:ascii="Courier New" w:eastAsia="Times New Roman" w:hAnsi="Courier New" w:cs="Courier New"/>
          <w:i/>
          <w:color w:val="00008B"/>
          <w:sz w:val="20"/>
          <w:szCs w:val="20"/>
        </w:rPr>
        <w:t xml:space="preserve"> </w:t>
      </w:r>
      <w:r w:rsidRPr="009B3A01">
        <w:rPr>
          <w:rFonts w:ascii="Courier New" w:eastAsia="Times New Roman" w:hAnsi="Courier New" w:cs="Courier New"/>
          <w:i/>
          <w:color w:val="00008B"/>
          <w:sz w:val="20"/>
          <w:szCs w:val="20"/>
        </w:rPr>
        <w:t>reasonable effort has been made to ensure the accuracy of these data, however</w:t>
      </w:r>
      <w:r>
        <w:rPr>
          <w:rFonts w:ascii="Courier New" w:eastAsia="Times New Roman" w:hAnsi="Courier New" w:cs="Courier New"/>
          <w:i/>
          <w:color w:val="00008B"/>
          <w:sz w:val="20"/>
          <w:szCs w:val="20"/>
        </w:rPr>
        <w:t xml:space="preserve"> </w:t>
      </w:r>
      <w:r w:rsidRPr="009B3A01">
        <w:rPr>
          <w:rFonts w:ascii="Courier New" w:eastAsia="Times New Roman" w:hAnsi="Courier New" w:cs="Courier New"/>
          <w:i/>
          <w:color w:val="00008B"/>
          <w:sz w:val="20"/>
          <w:szCs w:val="20"/>
        </w:rPr>
        <w:t>accuracy is not guaranteed.  Users with questions or comments should email the Planning Department or call</w:t>
      </w:r>
      <w:r>
        <w:rPr>
          <w:rFonts w:ascii="Courier New" w:eastAsia="Times New Roman" w:hAnsi="Courier New" w:cs="Courier New"/>
          <w:i/>
          <w:color w:val="00008B"/>
          <w:sz w:val="20"/>
          <w:szCs w:val="20"/>
        </w:rPr>
        <w:t xml:space="preserve"> </w:t>
      </w:r>
      <w:r w:rsidRPr="009B3A01">
        <w:rPr>
          <w:rFonts w:ascii="Courier New" w:eastAsia="Times New Roman" w:hAnsi="Courier New" w:cs="Courier New"/>
          <w:i/>
          <w:color w:val="00008B"/>
          <w:sz w:val="20"/>
          <w:szCs w:val="20"/>
        </w:rPr>
        <w:t xml:space="preserve">850-891-6400. </w:t>
      </w:r>
      <w:r>
        <w:t>“</w:t>
      </w:r>
    </w:p>
    <w:p w:rsidR="00934B19" w:rsidRDefault="008B61FA">
      <w:proofErr w:type="spellStart"/>
      <w:r>
        <w:t>Symbology</w:t>
      </w:r>
      <w:proofErr w:type="spellEnd"/>
      <w:r>
        <w:t>:</w:t>
      </w:r>
    </w:p>
    <w:p w:rsidR="008B61FA" w:rsidRDefault="008B61FA" w:rsidP="008B61FA">
      <w:pPr>
        <w:pStyle w:val="ListParagraph"/>
        <w:numPr>
          <w:ilvl w:val="0"/>
          <w:numId w:val="1"/>
        </w:numPr>
        <w:spacing w:line="240" w:lineRule="auto"/>
      </w:pPr>
      <w:proofErr w:type="spellStart"/>
      <w:r>
        <w:t>Gov</w:t>
      </w:r>
      <w:proofErr w:type="spellEnd"/>
      <w:r>
        <w:t>/School/Municipal=Government operation, schools, colleges, universities</w:t>
      </w:r>
    </w:p>
    <w:p w:rsidR="008B61FA" w:rsidRDefault="008B61FA" w:rsidP="008B61FA">
      <w:pPr>
        <w:pStyle w:val="ListParagraph"/>
        <w:numPr>
          <w:ilvl w:val="0"/>
          <w:numId w:val="1"/>
        </w:numPr>
        <w:spacing w:line="240" w:lineRule="auto"/>
      </w:pPr>
      <w:r>
        <w:t>Retail/Motel/Medical=Hotel, motel, medical, office, religious, nonprofit retail</w:t>
      </w:r>
    </w:p>
    <w:p w:rsidR="008B61FA" w:rsidRDefault="008B61FA" w:rsidP="008B61FA">
      <w:pPr>
        <w:pStyle w:val="ListParagraph"/>
        <w:numPr>
          <w:ilvl w:val="0"/>
          <w:numId w:val="1"/>
        </w:numPr>
        <w:spacing w:line="240" w:lineRule="auto"/>
      </w:pPr>
      <w:r>
        <w:t>Housing=Multi family, single family attached, single family detached Mobil home, two family dwelling</w:t>
      </w:r>
    </w:p>
    <w:p w:rsidR="008B61FA" w:rsidRDefault="008B61FA" w:rsidP="008B61FA">
      <w:pPr>
        <w:pStyle w:val="ListParagraph"/>
        <w:numPr>
          <w:ilvl w:val="0"/>
          <w:numId w:val="1"/>
        </w:numPr>
        <w:spacing w:line="240" w:lineRule="auto"/>
      </w:pPr>
      <w:proofErr w:type="spellStart"/>
      <w:r>
        <w:t>Greenspace</w:t>
      </w:r>
      <w:proofErr w:type="spellEnd"/>
      <w:r>
        <w:t>=Open space common areas, open space recreation/parks, open space resource protection, state and national forest, open space</w:t>
      </w:r>
    </w:p>
    <w:p w:rsidR="008B61FA" w:rsidRDefault="008B61FA" w:rsidP="008B61FA">
      <w:pPr>
        <w:pStyle w:val="ListParagraph"/>
        <w:numPr>
          <w:ilvl w:val="0"/>
          <w:numId w:val="1"/>
        </w:numPr>
        <w:spacing w:line="240" w:lineRule="auto"/>
      </w:pPr>
      <w:r>
        <w:t>Trans/Utility=Transportation, communications, utilities</w:t>
      </w:r>
    </w:p>
    <w:p w:rsidR="008B61FA" w:rsidRDefault="008B61FA" w:rsidP="008B61FA">
      <w:pPr>
        <w:pStyle w:val="ListParagraph"/>
        <w:numPr>
          <w:ilvl w:val="0"/>
          <w:numId w:val="1"/>
        </w:numPr>
        <w:spacing w:line="240" w:lineRule="auto"/>
      </w:pPr>
      <w:r>
        <w:t>Vacant</w:t>
      </w:r>
    </w:p>
    <w:p w:rsidR="008B61FA" w:rsidRDefault="008B61FA" w:rsidP="008B61FA">
      <w:pPr>
        <w:pStyle w:val="ListParagraph"/>
        <w:numPr>
          <w:ilvl w:val="0"/>
          <w:numId w:val="1"/>
        </w:numPr>
        <w:spacing w:line="240" w:lineRule="auto"/>
      </w:pPr>
      <w:r>
        <w:t>Warehouse</w:t>
      </w:r>
    </w:p>
    <w:p w:rsidR="008B61FA" w:rsidRDefault="008B61FA" w:rsidP="008B61FA">
      <w:pPr>
        <w:pStyle w:val="ListParagraph"/>
        <w:numPr>
          <w:ilvl w:val="0"/>
          <w:numId w:val="1"/>
        </w:numPr>
        <w:spacing w:line="240" w:lineRule="auto"/>
      </w:pPr>
      <w:r>
        <w:t>water</w:t>
      </w:r>
    </w:p>
    <w:p w:rsidR="007F7376" w:rsidRDefault="00562CFA">
      <w:pPr>
        <w:rPr>
          <w:rFonts w:ascii="Courier New" w:eastAsia="Times New Roman" w:hAnsi="Courier New" w:cs="Courier New"/>
          <w:i/>
          <w:color w:val="00008B"/>
          <w:sz w:val="20"/>
          <w:szCs w:val="20"/>
        </w:rPr>
      </w:pPr>
      <w:proofErr w:type="spellStart"/>
      <w:r>
        <w:rPr>
          <w:b/>
        </w:rPr>
        <w:t>Fig_Future_land</w:t>
      </w:r>
      <w:proofErr w:type="spellEnd"/>
      <w:r>
        <w:rPr>
          <w:b/>
        </w:rPr>
        <w:t xml:space="preserve"> Use res </w:t>
      </w:r>
      <w:proofErr w:type="gramStart"/>
      <w:r>
        <w:rPr>
          <w:b/>
        </w:rPr>
        <w:t>units.jpg</w:t>
      </w:r>
      <w:r>
        <w:t xml:space="preserve">  </w:t>
      </w:r>
      <w:r w:rsidR="00934B19" w:rsidRPr="00934B19">
        <w:rPr>
          <w:b/>
        </w:rPr>
        <w:t>Future</w:t>
      </w:r>
      <w:proofErr w:type="gramEnd"/>
      <w:r w:rsidR="00934B19" w:rsidRPr="00934B19">
        <w:rPr>
          <w:b/>
        </w:rPr>
        <w:t xml:space="preserve"> Land Use</w:t>
      </w:r>
      <w:r w:rsidR="007F7376">
        <w:rPr>
          <w:b/>
        </w:rPr>
        <w:t xml:space="preserve"> 2 figures</w:t>
      </w:r>
      <w:r w:rsidR="00934B19">
        <w:t xml:space="preserve">:  </w:t>
      </w:r>
      <w:r w:rsidR="007F7376">
        <w:t>1</w:t>
      </w:r>
      <w:r w:rsidR="007F7376" w:rsidRPr="007F7376">
        <w:rPr>
          <w:vertAlign w:val="superscript"/>
        </w:rPr>
        <w:t>st</w:t>
      </w:r>
      <w:r w:rsidR="007F7376">
        <w:t xml:space="preserve"> Fig is </w:t>
      </w:r>
      <w:r w:rsidR="00934B19">
        <w:t>Future land use layer for the model was taken from the TLCGIS Data Hub</w:t>
      </w:r>
      <w:r w:rsidR="009B3A01">
        <w:t xml:space="preserve"> (</w:t>
      </w:r>
      <w:hyperlink r:id="rId10" w:history="1">
        <w:r w:rsidR="009B3A01">
          <w:rPr>
            <w:rStyle w:val="Hyperlink"/>
          </w:rPr>
          <w:t>https://geodata-tlcgis.opendata.arcgis.com/datasets/future-land-use</w:t>
        </w:r>
      </w:hyperlink>
      <w:r w:rsidR="009B3A01">
        <w:t xml:space="preserve">). </w:t>
      </w:r>
      <w:r w:rsidR="009B3A01" w:rsidRPr="009B3A01">
        <w:rPr>
          <w:rFonts w:ascii="Courier New" w:eastAsia="Times New Roman" w:hAnsi="Courier New" w:cs="Courier New"/>
          <w:i/>
          <w:color w:val="00008B"/>
          <w:sz w:val="20"/>
          <w:szCs w:val="20"/>
        </w:rPr>
        <w:t xml:space="preserve">This feature layer displays Future Land Use district boundary polygons for the City of Tallahassee and Leon County, Florida. The Future Land Use layer is maintained by Tallahassee Leon County Planning Department (TLCPD) </w:t>
      </w:r>
      <w:r w:rsidR="009B3A01" w:rsidRPr="009B3A01">
        <w:rPr>
          <w:rFonts w:ascii="Courier New" w:eastAsia="Times New Roman" w:hAnsi="Courier New" w:cs="Courier New"/>
          <w:i/>
          <w:color w:val="00008B"/>
          <w:sz w:val="20"/>
          <w:szCs w:val="20"/>
          <w:u w:val="single"/>
        </w:rPr>
        <w:t>last update was December 5, 2019</w:t>
      </w:r>
      <w:r w:rsidR="007F7376">
        <w:rPr>
          <w:rFonts w:ascii="Courier New" w:eastAsia="Times New Roman" w:hAnsi="Courier New" w:cs="Courier New"/>
          <w:i/>
          <w:color w:val="00008B"/>
          <w:sz w:val="20"/>
          <w:szCs w:val="20"/>
        </w:rPr>
        <w:t>.</w:t>
      </w:r>
    </w:p>
    <w:p w:rsidR="00934B19" w:rsidRDefault="003C3C6D">
      <w:r>
        <w:t xml:space="preserve">Created a new field for </w:t>
      </w:r>
      <w:proofErr w:type="spellStart"/>
      <w:r>
        <w:t>symbology</w:t>
      </w:r>
      <w:proofErr w:type="spellEnd"/>
      <w:r>
        <w:t xml:space="preserve"> based on groups of “like” future land uses:</w:t>
      </w:r>
    </w:p>
    <w:p w:rsidR="003C3C6D" w:rsidRDefault="003C3C6D" w:rsidP="003C3C6D">
      <w:pPr>
        <w:pStyle w:val="ListParagraph"/>
        <w:numPr>
          <w:ilvl w:val="0"/>
          <w:numId w:val="2"/>
        </w:numPr>
      </w:pPr>
      <w:r>
        <w:t>Activity Center=unchanged</w:t>
      </w:r>
    </w:p>
    <w:p w:rsidR="003C3C6D" w:rsidRDefault="003C3C6D" w:rsidP="003C3C6D">
      <w:pPr>
        <w:pStyle w:val="ListParagraph"/>
        <w:numPr>
          <w:ilvl w:val="0"/>
          <w:numId w:val="2"/>
        </w:numPr>
      </w:pPr>
      <w:r>
        <w:t>Agriculture=unchanged</w:t>
      </w:r>
    </w:p>
    <w:p w:rsidR="003C3C6D" w:rsidRDefault="003C3C6D" w:rsidP="003C3C6D">
      <w:pPr>
        <w:pStyle w:val="ListParagraph"/>
        <w:numPr>
          <w:ilvl w:val="0"/>
          <w:numId w:val="2"/>
        </w:numPr>
      </w:pPr>
      <w:r>
        <w:t xml:space="preserve">Government </w:t>
      </w:r>
      <w:r w:rsidR="0047672B">
        <w:t>Operational &amp; Educational Facilities=Government &amp; Institutional</w:t>
      </w:r>
    </w:p>
    <w:p w:rsidR="0047672B" w:rsidRDefault="0047672B" w:rsidP="003C3C6D">
      <w:pPr>
        <w:pStyle w:val="ListParagraph"/>
        <w:numPr>
          <w:ilvl w:val="0"/>
          <w:numId w:val="2"/>
        </w:numPr>
      </w:pPr>
      <w:r>
        <w:t>Industrial and Industry &amp; mining=Industry &amp; Mining</w:t>
      </w:r>
    </w:p>
    <w:p w:rsidR="0047672B" w:rsidRDefault="0047672B" w:rsidP="003C3C6D">
      <w:pPr>
        <w:pStyle w:val="ListParagraph"/>
        <w:numPr>
          <w:ilvl w:val="0"/>
          <w:numId w:val="2"/>
        </w:numPr>
      </w:pPr>
      <w:r>
        <w:t>Water and Lake Protection=Lake Protection &amp; Water</w:t>
      </w:r>
    </w:p>
    <w:p w:rsidR="0047672B" w:rsidRDefault="0047672B" w:rsidP="003C3C6D">
      <w:pPr>
        <w:pStyle w:val="ListParagraph"/>
        <w:numPr>
          <w:ilvl w:val="0"/>
          <w:numId w:val="2"/>
        </w:numPr>
      </w:pPr>
      <w:r>
        <w:t>Recreation/Open Space, Open Space/</w:t>
      </w:r>
      <w:proofErr w:type="spellStart"/>
      <w:r>
        <w:t>Stormwater</w:t>
      </w:r>
      <w:proofErr w:type="spellEnd"/>
      <w:r>
        <w:t xml:space="preserve"> Facilities=Open Space</w:t>
      </w:r>
    </w:p>
    <w:p w:rsidR="0047672B" w:rsidRDefault="0047672B" w:rsidP="0047672B">
      <w:pPr>
        <w:pStyle w:val="ListParagraph"/>
        <w:numPr>
          <w:ilvl w:val="0"/>
          <w:numId w:val="2"/>
        </w:numPr>
      </w:pPr>
      <w:r>
        <w:t xml:space="preserve">Rural, Rural Community, Rural community with Residential preservation Overlay, Rural with Residential </w:t>
      </w:r>
      <w:proofErr w:type="spellStart"/>
      <w:r>
        <w:t>PreservatiOverlay</w:t>
      </w:r>
      <w:proofErr w:type="spellEnd"/>
      <w:r>
        <w:t xml:space="preserve">, Urban Fringe, </w:t>
      </w:r>
      <w:r w:rsidRPr="0047672B">
        <w:t>Urban Fringe with Residential Preservation Overlay</w:t>
      </w:r>
      <w:r>
        <w:t xml:space="preserve">, </w:t>
      </w:r>
      <w:r w:rsidRPr="0047672B">
        <w:t>Urban Residential</w:t>
      </w:r>
      <w:r>
        <w:t xml:space="preserve">, </w:t>
      </w:r>
      <w:r w:rsidRPr="0047672B">
        <w:t>Urban Residential 2</w:t>
      </w:r>
      <w:r>
        <w:t xml:space="preserve">, </w:t>
      </w:r>
      <w:r w:rsidRPr="0047672B">
        <w:t>Woodville Rural Community</w:t>
      </w:r>
      <w:r>
        <w:t xml:space="preserve">, </w:t>
      </w:r>
      <w:r w:rsidRPr="0047672B">
        <w:t>Woodville Rural Community with RP Overlay</w:t>
      </w:r>
      <w:r>
        <w:t>=</w:t>
      </w:r>
      <w:proofErr w:type="spellStart"/>
      <w:r w:rsidRPr="0047672B">
        <w:t>Rura</w:t>
      </w:r>
      <w:proofErr w:type="spellEnd"/>
      <w:r w:rsidRPr="0047672B">
        <w:t>/Urban Fringe/Residential</w:t>
      </w:r>
    </w:p>
    <w:p w:rsidR="0047672B" w:rsidRDefault="0047672B" w:rsidP="0047672B">
      <w:pPr>
        <w:pStyle w:val="ListParagraph"/>
        <w:numPr>
          <w:ilvl w:val="0"/>
          <w:numId w:val="2"/>
        </w:numPr>
      </w:pPr>
      <w:proofErr w:type="spellStart"/>
      <w:r w:rsidRPr="0047672B">
        <w:t>Bradfordville</w:t>
      </w:r>
      <w:proofErr w:type="spellEnd"/>
      <w:r w:rsidRPr="0047672B">
        <w:t xml:space="preserve"> Mixed Use</w:t>
      </w:r>
      <w:r>
        <w:t xml:space="preserve">, </w:t>
      </w:r>
      <w:r w:rsidRPr="0047672B">
        <w:t>Mahan Gateway Node</w:t>
      </w:r>
      <w:r>
        <w:t xml:space="preserve">, </w:t>
      </w:r>
      <w:r w:rsidRPr="0047672B">
        <w:t>Planned Development</w:t>
      </w:r>
      <w:r>
        <w:t xml:space="preserve">, </w:t>
      </w:r>
      <w:r w:rsidRPr="0047672B">
        <w:t>Residential Preservation</w:t>
      </w:r>
      <w:r>
        <w:t xml:space="preserve">, </w:t>
      </w:r>
      <w:r w:rsidRPr="0047672B">
        <w:t>Suburban</w:t>
      </w:r>
      <w:r>
        <w:t>=</w:t>
      </w:r>
      <w:r w:rsidRPr="0047672B">
        <w:t>Suburban/Residential</w:t>
      </w:r>
    </w:p>
    <w:p w:rsidR="00562CFA" w:rsidRDefault="00562CFA" w:rsidP="00562CFA">
      <w:proofErr w:type="spellStart"/>
      <w:r>
        <w:rPr>
          <w:b/>
        </w:rPr>
        <w:t>Fig_Future_land</w:t>
      </w:r>
      <w:proofErr w:type="spellEnd"/>
      <w:r>
        <w:rPr>
          <w:b/>
        </w:rPr>
        <w:t xml:space="preserve"> Use res units.jpg</w:t>
      </w:r>
      <w:r>
        <w:t xml:space="preserve">   2</w:t>
      </w:r>
      <w:r w:rsidRPr="007F7376">
        <w:rPr>
          <w:vertAlign w:val="superscript"/>
        </w:rPr>
        <w:t>nd</w:t>
      </w:r>
      <w:r>
        <w:t xml:space="preserve"> Fig</w:t>
      </w:r>
      <w:r w:rsidRPr="007F7376">
        <w:t xml:space="preserve"> is the </w:t>
      </w:r>
      <w:proofErr w:type="spellStart"/>
      <w:r w:rsidRPr="007F7376">
        <w:t>futlu</w:t>
      </w:r>
      <w:proofErr w:type="spellEnd"/>
      <w:r w:rsidRPr="007F7376">
        <w:t xml:space="preserve"> layer with the residential units calculated</w:t>
      </w:r>
      <w:r>
        <w:rPr>
          <w:rFonts w:ascii="Courier New" w:eastAsia="Times New Roman" w:hAnsi="Courier New" w:cs="Courier New"/>
          <w:i/>
          <w:color w:val="00008B"/>
          <w:sz w:val="20"/>
          <w:szCs w:val="20"/>
        </w:rPr>
        <w:t xml:space="preserve">. Misha and Marcy at </w:t>
      </w:r>
      <w:proofErr w:type="spellStart"/>
      <w:r>
        <w:rPr>
          <w:rFonts w:ascii="Courier New" w:eastAsia="Times New Roman" w:hAnsi="Courier New" w:cs="Courier New"/>
          <w:i/>
          <w:color w:val="00008B"/>
          <w:sz w:val="20"/>
          <w:szCs w:val="20"/>
        </w:rPr>
        <w:t>TetraTech</w:t>
      </w:r>
      <w:proofErr w:type="spellEnd"/>
      <w:r>
        <w:rPr>
          <w:rFonts w:ascii="Courier New" w:eastAsia="Times New Roman" w:hAnsi="Courier New" w:cs="Courier New"/>
          <w:i/>
          <w:color w:val="00008B"/>
          <w:sz w:val="20"/>
          <w:szCs w:val="20"/>
        </w:rPr>
        <w:t xml:space="preserve"> used the </w:t>
      </w:r>
      <w:r w:rsidRPr="007F7376">
        <w:rPr>
          <w:rFonts w:ascii="Courier New" w:eastAsia="Times New Roman" w:hAnsi="Courier New" w:cs="Courier New"/>
          <w:b/>
          <w:i/>
          <w:color w:val="00008B"/>
          <w:sz w:val="20"/>
          <w:szCs w:val="20"/>
        </w:rPr>
        <w:t>Leon County Land Development Code</w:t>
      </w:r>
      <w:r>
        <w:rPr>
          <w:rFonts w:ascii="Courier New" w:eastAsia="Times New Roman" w:hAnsi="Courier New" w:cs="Courier New"/>
          <w:i/>
          <w:color w:val="00008B"/>
          <w:sz w:val="20"/>
          <w:szCs w:val="20"/>
        </w:rPr>
        <w:t xml:space="preserve"> (</w:t>
      </w:r>
      <w:r w:rsidRPr="007F7376">
        <w:rPr>
          <w:rFonts w:ascii="Courier New" w:eastAsia="Times New Roman" w:hAnsi="Courier New" w:cs="Courier New"/>
          <w:color w:val="00008B"/>
          <w:sz w:val="20"/>
          <w:szCs w:val="20"/>
        </w:rPr>
        <w:t xml:space="preserve">I have a </w:t>
      </w:r>
      <w:proofErr w:type="spellStart"/>
      <w:r w:rsidRPr="007F7376">
        <w:rPr>
          <w:rFonts w:ascii="Courier New" w:eastAsia="Times New Roman" w:hAnsi="Courier New" w:cs="Courier New"/>
          <w:color w:val="00008B"/>
          <w:sz w:val="20"/>
          <w:szCs w:val="20"/>
        </w:rPr>
        <w:t>pdf</w:t>
      </w:r>
      <w:proofErr w:type="spellEnd"/>
      <w:r w:rsidRPr="007F7376">
        <w:rPr>
          <w:rFonts w:ascii="Courier New" w:eastAsia="Times New Roman" w:hAnsi="Courier New" w:cs="Courier New"/>
          <w:color w:val="00008B"/>
          <w:sz w:val="20"/>
          <w:szCs w:val="20"/>
        </w:rPr>
        <w:t xml:space="preserve"> copy if you need it</w:t>
      </w:r>
      <w:r>
        <w:rPr>
          <w:rFonts w:ascii="Courier New" w:eastAsia="Times New Roman" w:hAnsi="Courier New" w:cs="Courier New"/>
          <w:i/>
          <w:color w:val="00008B"/>
          <w:sz w:val="20"/>
          <w:szCs w:val="20"/>
        </w:rPr>
        <w:t>) to come up with the Residential units.</w:t>
      </w:r>
    </w:p>
    <w:p w:rsidR="00231BC7" w:rsidRDefault="00231BC7">
      <w:proofErr w:type="gramStart"/>
      <w:r>
        <w:lastRenderedPageBreak/>
        <w:t xml:space="preserve">Created a second figure that is symbolized only by Max Res </w:t>
      </w:r>
      <w:proofErr w:type="spellStart"/>
      <w:r>
        <w:t>Denisity</w:t>
      </w:r>
      <w:proofErr w:type="spellEnd"/>
      <w:r>
        <w:t xml:space="preserve"> Units as calculated by Tetra Tech.</w:t>
      </w:r>
      <w:proofErr w:type="gramEnd"/>
    </w:p>
    <w:p w:rsidR="00911696" w:rsidRDefault="00911696">
      <w:proofErr w:type="gramStart"/>
      <w:r>
        <w:t xml:space="preserve">As per the </w:t>
      </w:r>
      <w:proofErr w:type="spellStart"/>
      <w:r>
        <w:t>landuse</w:t>
      </w:r>
      <w:proofErr w:type="spellEnd"/>
      <w:r>
        <w:t xml:space="preserve"> code.</w:t>
      </w:r>
      <w:proofErr w:type="gramEnd"/>
      <w:r>
        <w:t xml:space="preserve"> </w:t>
      </w:r>
    </w:p>
    <w:tbl>
      <w:tblPr>
        <w:tblW w:w="2640" w:type="dxa"/>
        <w:tblInd w:w="93" w:type="dxa"/>
        <w:tblLook w:val="04A0" w:firstRow="1" w:lastRow="0" w:firstColumn="1" w:lastColumn="0" w:noHBand="0" w:noVBand="1"/>
      </w:tblPr>
      <w:tblGrid>
        <w:gridCol w:w="1000"/>
        <w:gridCol w:w="1706"/>
      </w:tblGrid>
      <w:tr w:rsidR="00911696" w:rsidRPr="00911696" w:rsidTr="00911696">
        <w:trPr>
          <w:trHeight w:val="300"/>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b/>
                <w:bCs/>
                <w:color w:val="000000"/>
              </w:rPr>
            </w:pPr>
            <w:r w:rsidRPr="00911696">
              <w:rPr>
                <w:rFonts w:ascii="Calibri" w:eastAsia="Times New Roman" w:hAnsi="Calibri" w:cs="Calibri"/>
                <w:b/>
                <w:bCs/>
                <w:color w:val="000000"/>
              </w:rPr>
              <w:t>LU</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b/>
                <w:bCs/>
                <w:color w:val="000000"/>
              </w:rPr>
            </w:pPr>
            <w:proofErr w:type="spellStart"/>
            <w:r w:rsidRPr="00911696">
              <w:rPr>
                <w:rFonts w:ascii="Calibri" w:eastAsia="Times New Roman" w:hAnsi="Calibri" w:cs="Calibri"/>
                <w:b/>
                <w:bCs/>
                <w:color w:val="000000"/>
              </w:rPr>
              <w:t>MaxDenPerAcre</w:t>
            </w:r>
            <w:proofErr w:type="spellEnd"/>
          </w:p>
        </w:tc>
      </w:tr>
      <w:tr w:rsidR="00911696" w:rsidRPr="00911696" w:rsidTr="00911696">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AC</w:t>
            </w:r>
          </w:p>
        </w:tc>
        <w:tc>
          <w:tcPr>
            <w:tcW w:w="1640" w:type="dxa"/>
            <w:tcBorders>
              <w:top w:val="nil"/>
              <w:left w:val="nil"/>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45.00</w:t>
            </w:r>
          </w:p>
        </w:tc>
      </w:tr>
      <w:tr w:rsidR="00911696" w:rsidRPr="00911696" w:rsidTr="00911696">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AG</w:t>
            </w:r>
          </w:p>
        </w:tc>
        <w:tc>
          <w:tcPr>
            <w:tcW w:w="1640" w:type="dxa"/>
            <w:tcBorders>
              <w:top w:val="nil"/>
              <w:left w:val="nil"/>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0.10</w:t>
            </w:r>
          </w:p>
        </w:tc>
      </w:tr>
      <w:tr w:rsidR="00911696" w:rsidRPr="00911696" w:rsidTr="00911696">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EF</w:t>
            </w:r>
          </w:p>
        </w:tc>
        <w:tc>
          <w:tcPr>
            <w:tcW w:w="1640" w:type="dxa"/>
            <w:tcBorders>
              <w:top w:val="nil"/>
              <w:left w:val="nil"/>
              <w:bottom w:val="single" w:sz="4" w:space="0" w:color="auto"/>
              <w:right w:val="single" w:sz="4" w:space="0" w:color="auto"/>
            </w:tcBorders>
            <w:shd w:val="clear" w:color="000000" w:fill="FFFF00"/>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0.00</w:t>
            </w:r>
          </w:p>
        </w:tc>
      </w:tr>
      <w:tr w:rsidR="00911696" w:rsidRPr="00911696" w:rsidTr="00911696">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GO</w:t>
            </w:r>
          </w:p>
        </w:tc>
        <w:tc>
          <w:tcPr>
            <w:tcW w:w="1640" w:type="dxa"/>
            <w:tcBorders>
              <w:top w:val="nil"/>
              <w:left w:val="nil"/>
              <w:bottom w:val="single" w:sz="4" w:space="0" w:color="auto"/>
              <w:right w:val="single" w:sz="4" w:space="0" w:color="auto"/>
            </w:tcBorders>
            <w:shd w:val="clear" w:color="000000" w:fill="FFFF00"/>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0.00</w:t>
            </w:r>
          </w:p>
        </w:tc>
      </w:tr>
      <w:tr w:rsidR="00911696" w:rsidRPr="00911696" w:rsidTr="00911696">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I</w:t>
            </w:r>
          </w:p>
        </w:tc>
        <w:tc>
          <w:tcPr>
            <w:tcW w:w="1640" w:type="dxa"/>
            <w:tcBorders>
              <w:top w:val="nil"/>
              <w:left w:val="nil"/>
              <w:bottom w:val="single" w:sz="4" w:space="0" w:color="auto"/>
              <w:right w:val="single" w:sz="4" w:space="0" w:color="auto"/>
            </w:tcBorders>
            <w:shd w:val="clear" w:color="000000" w:fill="FFFF00"/>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0.00</w:t>
            </w:r>
          </w:p>
        </w:tc>
      </w:tr>
      <w:tr w:rsidR="00911696" w:rsidRPr="00911696" w:rsidTr="00911696">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IM</w:t>
            </w:r>
          </w:p>
        </w:tc>
        <w:tc>
          <w:tcPr>
            <w:tcW w:w="1640" w:type="dxa"/>
            <w:tcBorders>
              <w:top w:val="nil"/>
              <w:left w:val="nil"/>
              <w:bottom w:val="single" w:sz="4" w:space="0" w:color="auto"/>
              <w:right w:val="single" w:sz="4" w:space="0" w:color="auto"/>
            </w:tcBorders>
            <w:shd w:val="clear" w:color="000000" w:fill="FFFF00"/>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0.00</w:t>
            </w:r>
          </w:p>
        </w:tc>
      </w:tr>
      <w:tr w:rsidR="00911696" w:rsidRPr="00911696" w:rsidTr="00911696">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LP</w:t>
            </w:r>
          </w:p>
        </w:tc>
        <w:tc>
          <w:tcPr>
            <w:tcW w:w="1640" w:type="dxa"/>
            <w:tcBorders>
              <w:top w:val="nil"/>
              <w:left w:val="nil"/>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0.50</w:t>
            </w:r>
          </w:p>
        </w:tc>
      </w:tr>
      <w:tr w:rsidR="00911696" w:rsidRPr="00911696" w:rsidTr="00911696">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MGN</w:t>
            </w:r>
          </w:p>
        </w:tc>
        <w:tc>
          <w:tcPr>
            <w:tcW w:w="1640" w:type="dxa"/>
            <w:tcBorders>
              <w:top w:val="nil"/>
              <w:left w:val="nil"/>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16.00</w:t>
            </w:r>
          </w:p>
        </w:tc>
      </w:tr>
      <w:tr w:rsidR="00911696" w:rsidRPr="00911696" w:rsidTr="00911696">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MU</w:t>
            </w:r>
          </w:p>
        </w:tc>
        <w:tc>
          <w:tcPr>
            <w:tcW w:w="1640" w:type="dxa"/>
            <w:tcBorders>
              <w:top w:val="nil"/>
              <w:left w:val="nil"/>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20.00</w:t>
            </w:r>
          </w:p>
        </w:tc>
      </w:tr>
      <w:tr w:rsidR="00911696" w:rsidRPr="00911696" w:rsidTr="00911696">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OS</w:t>
            </w:r>
          </w:p>
        </w:tc>
        <w:tc>
          <w:tcPr>
            <w:tcW w:w="1640" w:type="dxa"/>
            <w:tcBorders>
              <w:top w:val="nil"/>
              <w:left w:val="nil"/>
              <w:bottom w:val="single" w:sz="4" w:space="0" w:color="auto"/>
              <w:right w:val="single" w:sz="4" w:space="0" w:color="auto"/>
            </w:tcBorders>
            <w:shd w:val="clear" w:color="000000" w:fill="FFFF00"/>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0.00</w:t>
            </w:r>
          </w:p>
        </w:tc>
      </w:tr>
      <w:tr w:rsidR="00911696" w:rsidRPr="00911696" w:rsidTr="00911696">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OSS</w:t>
            </w:r>
          </w:p>
        </w:tc>
        <w:tc>
          <w:tcPr>
            <w:tcW w:w="1640" w:type="dxa"/>
            <w:tcBorders>
              <w:top w:val="nil"/>
              <w:left w:val="nil"/>
              <w:bottom w:val="single" w:sz="4" w:space="0" w:color="auto"/>
              <w:right w:val="single" w:sz="4" w:space="0" w:color="auto"/>
            </w:tcBorders>
            <w:shd w:val="clear" w:color="000000" w:fill="FFFF00"/>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0.00</w:t>
            </w:r>
          </w:p>
        </w:tc>
      </w:tr>
      <w:tr w:rsidR="00911696" w:rsidRPr="00911696" w:rsidTr="00911696">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PD</w:t>
            </w:r>
          </w:p>
        </w:tc>
        <w:tc>
          <w:tcPr>
            <w:tcW w:w="1640" w:type="dxa"/>
            <w:tcBorders>
              <w:top w:val="nil"/>
              <w:left w:val="nil"/>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20.00</w:t>
            </w:r>
          </w:p>
        </w:tc>
      </w:tr>
      <w:tr w:rsidR="00911696" w:rsidRPr="00911696" w:rsidTr="00911696">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R</w:t>
            </w:r>
          </w:p>
        </w:tc>
        <w:tc>
          <w:tcPr>
            <w:tcW w:w="1640" w:type="dxa"/>
            <w:tcBorders>
              <w:top w:val="nil"/>
              <w:left w:val="nil"/>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0.10</w:t>
            </w:r>
          </w:p>
        </w:tc>
      </w:tr>
      <w:tr w:rsidR="00911696" w:rsidRPr="00911696" w:rsidTr="00911696">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RC</w:t>
            </w:r>
          </w:p>
        </w:tc>
        <w:tc>
          <w:tcPr>
            <w:tcW w:w="1640" w:type="dxa"/>
            <w:tcBorders>
              <w:top w:val="nil"/>
              <w:left w:val="nil"/>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4.00</w:t>
            </w:r>
          </w:p>
        </w:tc>
      </w:tr>
      <w:tr w:rsidR="00911696" w:rsidRPr="00911696" w:rsidTr="00911696">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RC-RPO</w:t>
            </w:r>
          </w:p>
        </w:tc>
        <w:tc>
          <w:tcPr>
            <w:tcW w:w="1640" w:type="dxa"/>
            <w:tcBorders>
              <w:top w:val="nil"/>
              <w:left w:val="nil"/>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4.00</w:t>
            </w:r>
          </w:p>
        </w:tc>
      </w:tr>
      <w:tr w:rsidR="00911696" w:rsidRPr="00911696" w:rsidTr="00911696">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RP</w:t>
            </w:r>
          </w:p>
        </w:tc>
        <w:tc>
          <w:tcPr>
            <w:tcW w:w="1640" w:type="dxa"/>
            <w:tcBorders>
              <w:top w:val="nil"/>
              <w:left w:val="nil"/>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6.00</w:t>
            </w:r>
          </w:p>
        </w:tc>
      </w:tr>
      <w:tr w:rsidR="00911696" w:rsidRPr="00911696" w:rsidTr="00911696">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R-RPO</w:t>
            </w:r>
          </w:p>
        </w:tc>
        <w:tc>
          <w:tcPr>
            <w:tcW w:w="1640" w:type="dxa"/>
            <w:tcBorders>
              <w:top w:val="nil"/>
              <w:left w:val="nil"/>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0.10</w:t>
            </w:r>
          </w:p>
        </w:tc>
      </w:tr>
      <w:tr w:rsidR="00911696" w:rsidRPr="00911696" w:rsidTr="00911696">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SUB</w:t>
            </w:r>
          </w:p>
        </w:tc>
        <w:tc>
          <w:tcPr>
            <w:tcW w:w="1640" w:type="dxa"/>
            <w:tcBorders>
              <w:top w:val="nil"/>
              <w:left w:val="nil"/>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20.00</w:t>
            </w:r>
          </w:p>
        </w:tc>
      </w:tr>
      <w:tr w:rsidR="00911696" w:rsidRPr="00911696" w:rsidTr="00911696">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UF</w:t>
            </w:r>
          </w:p>
        </w:tc>
        <w:tc>
          <w:tcPr>
            <w:tcW w:w="1640" w:type="dxa"/>
            <w:tcBorders>
              <w:top w:val="nil"/>
              <w:left w:val="nil"/>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0.33</w:t>
            </w:r>
          </w:p>
        </w:tc>
      </w:tr>
      <w:tr w:rsidR="00911696" w:rsidRPr="00911696" w:rsidTr="00911696">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UF-RPO</w:t>
            </w:r>
          </w:p>
        </w:tc>
        <w:tc>
          <w:tcPr>
            <w:tcW w:w="1640" w:type="dxa"/>
            <w:tcBorders>
              <w:top w:val="nil"/>
              <w:left w:val="nil"/>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0.33</w:t>
            </w:r>
          </w:p>
        </w:tc>
      </w:tr>
      <w:tr w:rsidR="00911696" w:rsidRPr="00911696" w:rsidTr="00911696">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UR</w:t>
            </w:r>
          </w:p>
        </w:tc>
        <w:tc>
          <w:tcPr>
            <w:tcW w:w="1640" w:type="dxa"/>
            <w:tcBorders>
              <w:top w:val="nil"/>
              <w:left w:val="nil"/>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10.00</w:t>
            </w:r>
          </w:p>
        </w:tc>
      </w:tr>
      <w:tr w:rsidR="00911696" w:rsidRPr="00911696" w:rsidTr="00911696">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UR-2</w:t>
            </w:r>
          </w:p>
        </w:tc>
        <w:tc>
          <w:tcPr>
            <w:tcW w:w="1640" w:type="dxa"/>
            <w:tcBorders>
              <w:top w:val="nil"/>
              <w:left w:val="nil"/>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20.00</w:t>
            </w:r>
          </w:p>
        </w:tc>
      </w:tr>
      <w:tr w:rsidR="00911696" w:rsidRPr="00911696" w:rsidTr="00911696">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W</w:t>
            </w:r>
          </w:p>
        </w:tc>
        <w:tc>
          <w:tcPr>
            <w:tcW w:w="1640" w:type="dxa"/>
            <w:tcBorders>
              <w:top w:val="nil"/>
              <w:left w:val="nil"/>
              <w:bottom w:val="single" w:sz="4" w:space="0" w:color="auto"/>
              <w:right w:val="single" w:sz="4" w:space="0" w:color="auto"/>
            </w:tcBorders>
            <w:shd w:val="clear" w:color="000000" w:fill="FFFF00"/>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0.00</w:t>
            </w:r>
          </w:p>
        </w:tc>
      </w:tr>
      <w:tr w:rsidR="00911696" w:rsidRPr="00911696" w:rsidTr="00911696">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WRC</w:t>
            </w:r>
          </w:p>
        </w:tc>
        <w:tc>
          <w:tcPr>
            <w:tcW w:w="1640" w:type="dxa"/>
            <w:tcBorders>
              <w:top w:val="nil"/>
              <w:left w:val="nil"/>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4.00</w:t>
            </w:r>
          </w:p>
        </w:tc>
      </w:tr>
      <w:tr w:rsidR="00911696" w:rsidRPr="00911696" w:rsidTr="00911696">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WRC-RPO</w:t>
            </w:r>
          </w:p>
        </w:tc>
        <w:tc>
          <w:tcPr>
            <w:tcW w:w="1640" w:type="dxa"/>
            <w:tcBorders>
              <w:top w:val="nil"/>
              <w:left w:val="nil"/>
              <w:bottom w:val="single" w:sz="4" w:space="0" w:color="auto"/>
              <w:right w:val="single" w:sz="4" w:space="0" w:color="auto"/>
            </w:tcBorders>
            <w:shd w:val="clear" w:color="auto" w:fill="auto"/>
            <w:noWrap/>
            <w:vAlign w:val="center"/>
            <w:hideMark/>
          </w:tcPr>
          <w:p w:rsidR="00911696" w:rsidRPr="00911696" w:rsidRDefault="00911696" w:rsidP="00911696">
            <w:pPr>
              <w:spacing w:after="0" w:line="240" w:lineRule="auto"/>
              <w:jc w:val="center"/>
              <w:rPr>
                <w:rFonts w:ascii="Calibri" w:eastAsia="Times New Roman" w:hAnsi="Calibri" w:cs="Calibri"/>
                <w:color w:val="000000"/>
              </w:rPr>
            </w:pPr>
            <w:r w:rsidRPr="00911696">
              <w:rPr>
                <w:rFonts w:ascii="Calibri" w:eastAsia="Times New Roman" w:hAnsi="Calibri" w:cs="Calibri"/>
                <w:color w:val="000000"/>
              </w:rPr>
              <w:t>4.00</w:t>
            </w:r>
          </w:p>
        </w:tc>
      </w:tr>
    </w:tbl>
    <w:p w:rsidR="00911696" w:rsidRPr="00231BC7" w:rsidRDefault="00911696"/>
    <w:p w:rsidR="00934B19" w:rsidRDefault="00562CFA">
      <w:proofErr w:type="spellStart"/>
      <w:r>
        <w:rPr>
          <w:b/>
        </w:rPr>
        <w:t>Fig_Existing</w:t>
      </w:r>
      <w:proofErr w:type="spellEnd"/>
      <w:r>
        <w:rPr>
          <w:b/>
        </w:rPr>
        <w:t xml:space="preserve"> Site </w:t>
      </w:r>
      <w:proofErr w:type="spellStart"/>
      <w:r>
        <w:rPr>
          <w:b/>
        </w:rPr>
        <w:t>Characheristics</w:t>
      </w:r>
      <w:proofErr w:type="spellEnd"/>
      <w:r>
        <w:rPr>
          <w:b/>
        </w:rPr>
        <w:t xml:space="preserve"> Soils.jpg</w:t>
      </w:r>
      <w:r>
        <w:t xml:space="preserve"> (</w:t>
      </w:r>
      <w:r w:rsidR="00934B19" w:rsidRPr="00934B19">
        <w:rPr>
          <w:b/>
        </w:rPr>
        <w:t xml:space="preserve">Soils </w:t>
      </w:r>
      <w:proofErr w:type="spellStart"/>
      <w:r w:rsidR="00934B19" w:rsidRPr="00934B19">
        <w:rPr>
          <w:b/>
        </w:rPr>
        <w:t>Hyd</w:t>
      </w:r>
      <w:proofErr w:type="spellEnd"/>
      <w:r w:rsidR="00934B19" w:rsidRPr="00934B19">
        <w:rPr>
          <w:b/>
        </w:rPr>
        <w:t xml:space="preserve"> K</w:t>
      </w:r>
      <w:r>
        <w:rPr>
          <w:b/>
        </w:rPr>
        <w:t>)</w:t>
      </w:r>
      <w:r w:rsidR="00934B19">
        <w:t xml:space="preserve">: </w:t>
      </w:r>
      <w:r w:rsidR="00934B19" w:rsidRPr="00DA0C54">
        <w:t xml:space="preserve">The rate </w:t>
      </w:r>
      <w:r w:rsidR="00934B19">
        <w:t>that</w:t>
      </w:r>
      <w:r w:rsidR="00934B19" w:rsidRPr="00DA0C54">
        <w:t xml:space="preserve"> water moves through soil is a critical component of any aquifer vulnerability analysis, as soil is </w:t>
      </w:r>
      <w:r w:rsidR="00934B19">
        <w:t>literally an</w:t>
      </w:r>
      <w:r w:rsidR="00934B19" w:rsidRPr="00DA0C54">
        <w:t xml:space="preserve"> aquifer system’s first line of defense against potential contamination</w:t>
      </w:r>
      <w:r w:rsidR="00934B19">
        <w:t xml:space="preserve"> (Arthur et al., 2005). Two parameters of soils were evaluated for input into the LAVA model: </w:t>
      </w:r>
      <w:r w:rsidR="00934B19" w:rsidRPr="00A520E6">
        <w:rPr>
          <w:i/>
        </w:rPr>
        <w:t>soil hydraulic conductivity</w:t>
      </w:r>
      <w:r w:rsidR="00934B19">
        <w:t>, which is the “amount of water that would move vertically through a unit area of saturated soil in unit time under unit hydraulic gradient” (U.S. Department of Agriculture, 2005);</w:t>
      </w:r>
    </w:p>
    <w:p w:rsidR="00934B19" w:rsidRDefault="00934B19">
      <w:r w:rsidRPr="00460C25">
        <w:t>Countywide datasets representing soil hydraulic conductivity were developed to be used as input into the LAVA model. Multiple empirical values are reported in soil surveys</w:t>
      </w:r>
      <w:r w:rsidRPr="00A62AB1">
        <w:t xml:space="preserve"> representing various zones in each soil column underlying a particular soil polygon. Further, multiple columns may be reported for a </w:t>
      </w:r>
      <w:r w:rsidRPr="00A62AB1">
        <w:lastRenderedPageBreak/>
        <w:t xml:space="preserve">single soil polygon. Because the model requires a single value for each soil polygon, two steps are used. First, representative values for each horizon in a column are combined using a harmonic sum of the weighted mean. Second, because multiple columns may be reported for a soil polygon, the harmonic sum values are averaged into a single value for each polygon. </w:t>
      </w:r>
    </w:p>
    <w:p w:rsidR="00934B19" w:rsidRDefault="00934B19">
      <w:r>
        <w:t>Soil hydraulic conductivity ranges from 1.80 to 20.74 inches per hour (in/</w:t>
      </w:r>
      <w:proofErr w:type="spellStart"/>
      <w:r>
        <w:t>hr</w:t>
      </w:r>
      <w:proofErr w:type="spellEnd"/>
      <w:r>
        <w:t>) across the study area. Test modeling indicated that areas underlain by 20.74 to 12.72 in/</w:t>
      </w:r>
      <w:proofErr w:type="spellStart"/>
      <w:r>
        <w:t>hr</w:t>
      </w:r>
      <w:proofErr w:type="spellEnd"/>
      <w:r>
        <w:t xml:space="preserve"> were more associated with the training points, and therefore associated with higher aquifer vulnerability. Conversely, areas underlain by 12.71 to 1.80 in/</w:t>
      </w:r>
      <w:proofErr w:type="spellStart"/>
      <w:r>
        <w:t>hr</w:t>
      </w:r>
      <w:proofErr w:type="spellEnd"/>
      <w:r>
        <w:t xml:space="preserve"> soil hydraulic conductivity were less associated with the training points, and therefore lower aquifer vulnerability. Based on this analysis, the evidential theme was generalized into two classes as displayed in Figure 14</w:t>
      </w:r>
    </w:p>
    <w:p w:rsidR="00E82303" w:rsidRDefault="00E82303">
      <w:proofErr w:type="gramStart"/>
      <w:r>
        <w:t>Currently symbolized in inches per hour as a color ramp.</w:t>
      </w:r>
      <w:proofErr w:type="gramEnd"/>
      <w:r>
        <w:t xml:space="preserve">  If you want to classify by a range just let me know and tell me what range you’d like to see. </w:t>
      </w:r>
      <w:proofErr w:type="gramStart"/>
      <w:r>
        <w:t>For instance, 0-5 in/</w:t>
      </w:r>
      <w:proofErr w:type="spellStart"/>
      <w:r>
        <w:t>hr</w:t>
      </w:r>
      <w:proofErr w:type="spellEnd"/>
      <w:r>
        <w:t>, 5-10 etc.</w:t>
      </w:r>
      <w:proofErr w:type="gramEnd"/>
    </w:p>
    <w:p w:rsidR="007A2445" w:rsidRDefault="007A2445">
      <w:proofErr w:type="spellStart"/>
      <w:r>
        <w:rPr>
          <w:b/>
        </w:rPr>
        <w:t>Fig_Existing</w:t>
      </w:r>
      <w:proofErr w:type="spellEnd"/>
      <w:r>
        <w:rPr>
          <w:b/>
        </w:rPr>
        <w:t xml:space="preserve"> Site </w:t>
      </w:r>
      <w:proofErr w:type="spellStart"/>
      <w:r>
        <w:rPr>
          <w:b/>
        </w:rPr>
        <w:t>Characheristics</w:t>
      </w:r>
      <w:proofErr w:type="spellEnd"/>
      <w:r>
        <w:rPr>
          <w:b/>
        </w:rPr>
        <w:t xml:space="preserve"> </w:t>
      </w:r>
      <w:r>
        <w:rPr>
          <w:b/>
        </w:rPr>
        <w:t>Septic Tank DominantCondition</w:t>
      </w:r>
      <w:r>
        <w:rPr>
          <w:b/>
        </w:rPr>
        <w:t>.jpg</w:t>
      </w:r>
      <w:r>
        <w:t xml:space="preserve"> (</w:t>
      </w:r>
      <w:r w:rsidRPr="00934B19">
        <w:rPr>
          <w:b/>
        </w:rPr>
        <w:t xml:space="preserve">Soils </w:t>
      </w:r>
      <w:r>
        <w:rPr>
          <w:b/>
        </w:rPr>
        <w:t xml:space="preserve">data </w:t>
      </w:r>
      <w:proofErr w:type="spellStart"/>
      <w:r>
        <w:rPr>
          <w:b/>
        </w:rPr>
        <w:t>mugwat</w:t>
      </w:r>
      <w:proofErr w:type="spellEnd"/>
      <w:r>
        <w:rPr>
          <w:b/>
        </w:rPr>
        <w:t xml:space="preserve"> table</w:t>
      </w:r>
      <w:r>
        <w:rPr>
          <w:b/>
        </w:rPr>
        <w:t>)</w:t>
      </w:r>
      <w:r>
        <w:t>:</w:t>
      </w:r>
    </w:p>
    <w:p w:rsidR="007A2445" w:rsidRDefault="007A2445">
      <w:r>
        <w:t xml:space="preserve">Join soils table to MUAGGATT table and display on </w:t>
      </w:r>
      <w:proofErr w:type="spellStart"/>
      <w:r>
        <w:t>muaggatt.engstafdcd</w:t>
      </w:r>
      <w:proofErr w:type="spellEnd"/>
      <w:r>
        <w:t xml:space="preserve"> which is aliased as Septic Dominant Condition</w:t>
      </w:r>
      <w:r w:rsidR="00937DB4">
        <w:t xml:space="preserve"> </w:t>
      </w:r>
      <w:r w:rsidR="00937DB4">
        <w:rPr>
          <w:noProof/>
        </w:rPr>
        <w:drawing>
          <wp:inline distT="0" distB="0" distL="0" distR="0" wp14:anchorId="346E7991" wp14:editId="0D3A8EBA">
            <wp:extent cx="5553712" cy="3782576"/>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551845" cy="3781305"/>
                    </a:xfrm>
                    <a:prstGeom prst="rect">
                      <a:avLst/>
                    </a:prstGeom>
                  </pic:spPr>
                </pic:pic>
              </a:graphicData>
            </a:graphic>
          </wp:inline>
        </w:drawing>
      </w:r>
    </w:p>
    <w:p w:rsidR="00937DB4" w:rsidRDefault="00937DB4" w:rsidP="00937DB4">
      <w:pPr>
        <w:pStyle w:val="ListParagraph"/>
        <w:numPr>
          <w:ilvl w:val="0"/>
          <w:numId w:val="6"/>
        </w:numPr>
      </w:pPr>
      <w:r>
        <w:t xml:space="preserve">27 </w:t>
      </w:r>
      <w:proofErr w:type="spellStart"/>
      <w:r>
        <w:t>engstafdcd</w:t>
      </w:r>
      <w:proofErr w:type="spellEnd"/>
      <w:r>
        <w:t xml:space="preserve"> ENG - Septic Tank Absorption Fields - Dominant Condition </w:t>
      </w:r>
    </w:p>
    <w:p w:rsidR="00937DB4" w:rsidRDefault="00937DB4" w:rsidP="00937DB4">
      <w:pPr>
        <w:pStyle w:val="ListParagraph"/>
        <w:numPr>
          <w:ilvl w:val="0"/>
          <w:numId w:val="6"/>
        </w:numPr>
      </w:pPr>
      <w:r>
        <w:t xml:space="preserve">28 </w:t>
      </w:r>
      <w:proofErr w:type="spellStart"/>
      <w:r>
        <w:t>engstafll</w:t>
      </w:r>
      <w:proofErr w:type="spellEnd"/>
      <w:r>
        <w:t xml:space="preserve"> ENG - Septic Tank Absorption Fields - Least Limiting </w:t>
      </w:r>
    </w:p>
    <w:p w:rsidR="007A2445" w:rsidRPr="00937DB4" w:rsidRDefault="00937DB4" w:rsidP="00937DB4">
      <w:pPr>
        <w:pStyle w:val="ListParagraph"/>
        <w:numPr>
          <w:ilvl w:val="0"/>
          <w:numId w:val="6"/>
        </w:numPr>
      </w:pPr>
      <w:r>
        <w:t xml:space="preserve">29 </w:t>
      </w:r>
      <w:proofErr w:type="spellStart"/>
      <w:r>
        <w:t>engstafml</w:t>
      </w:r>
      <w:proofErr w:type="spellEnd"/>
      <w:r>
        <w:t xml:space="preserve"> ENG - Septic Tank Absorption Fields - Most Limiting</w:t>
      </w:r>
    </w:p>
    <w:p w:rsidR="007A2445" w:rsidRDefault="007A2445">
      <w:pPr>
        <w:rPr>
          <w:b/>
        </w:rPr>
      </w:pPr>
      <w:r>
        <w:rPr>
          <w:noProof/>
        </w:rPr>
        <w:lastRenderedPageBreak/>
        <w:drawing>
          <wp:inline distT="0" distB="0" distL="0" distR="0" wp14:anchorId="3D19BFC6" wp14:editId="45836004">
            <wp:extent cx="5572125" cy="3714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572125" cy="3714750"/>
                    </a:xfrm>
                    <a:prstGeom prst="rect">
                      <a:avLst/>
                    </a:prstGeom>
                  </pic:spPr>
                </pic:pic>
              </a:graphicData>
            </a:graphic>
          </wp:inline>
        </w:drawing>
      </w:r>
    </w:p>
    <w:p w:rsidR="007A2445" w:rsidRPr="007A2445" w:rsidRDefault="007A2445">
      <w:pPr>
        <w:rPr>
          <w:b/>
        </w:rPr>
      </w:pPr>
      <w:r>
        <w:rPr>
          <w:noProof/>
        </w:rPr>
        <w:drawing>
          <wp:inline distT="0" distB="0" distL="0" distR="0" wp14:anchorId="42F0FD88" wp14:editId="4F7BC8CF">
            <wp:extent cx="5943600" cy="41846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4184650"/>
                    </a:xfrm>
                    <a:prstGeom prst="rect">
                      <a:avLst/>
                    </a:prstGeom>
                  </pic:spPr>
                </pic:pic>
              </a:graphicData>
            </a:graphic>
          </wp:inline>
        </w:drawing>
      </w:r>
    </w:p>
    <w:p w:rsidR="007A2445" w:rsidRDefault="007A2445">
      <w:proofErr w:type="spellStart"/>
      <w:r>
        <w:rPr>
          <w:b/>
        </w:rPr>
        <w:lastRenderedPageBreak/>
        <w:t>Fig_Existing</w:t>
      </w:r>
      <w:proofErr w:type="spellEnd"/>
      <w:r>
        <w:rPr>
          <w:b/>
        </w:rPr>
        <w:t xml:space="preserve"> Site </w:t>
      </w:r>
      <w:proofErr w:type="spellStart"/>
      <w:r>
        <w:rPr>
          <w:b/>
        </w:rPr>
        <w:t>Characheristics</w:t>
      </w:r>
      <w:proofErr w:type="spellEnd"/>
      <w:r>
        <w:rPr>
          <w:b/>
        </w:rPr>
        <w:t xml:space="preserve"> Soils</w:t>
      </w:r>
      <w:r w:rsidR="003905CE">
        <w:rPr>
          <w:b/>
        </w:rPr>
        <w:t>_KSATVALUES</w:t>
      </w:r>
      <w:r>
        <w:rPr>
          <w:b/>
        </w:rPr>
        <w:t>.jpg</w:t>
      </w:r>
      <w:r>
        <w:t xml:space="preserve"> (</w:t>
      </w:r>
      <w:r w:rsidRPr="00934B19">
        <w:rPr>
          <w:b/>
        </w:rPr>
        <w:t xml:space="preserve">Soils </w:t>
      </w:r>
      <w:r w:rsidR="003905CE">
        <w:rPr>
          <w:b/>
        </w:rPr>
        <w:t>KSAT</w:t>
      </w:r>
      <w:r>
        <w:rPr>
          <w:b/>
        </w:rPr>
        <w:t>)</w:t>
      </w:r>
      <w:r>
        <w:t>:</w:t>
      </w:r>
    </w:p>
    <w:p w:rsidR="003905CE" w:rsidRDefault="00CB5D4B">
      <w:r>
        <w:t xml:space="preserve">Saturated Hydraulic conductivity - </w:t>
      </w:r>
      <w:r>
        <w:t>(</w:t>
      </w:r>
      <w:proofErr w:type="spellStart"/>
      <w:r>
        <w:t>Ksat</w:t>
      </w:r>
      <w:proofErr w:type="spellEnd"/>
      <w:r>
        <w:t xml:space="preserve">) is the single most scientifically valuable parameter for phenomena related to </w:t>
      </w:r>
      <w:proofErr w:type="spellStart"/>
      <w:r>
        <w:t>soilwater</w:t>
      </w:r>
      <w:proofErr w:type="spellEnd"/>
      <w:r>
        <w:t xml:space="preserve"> flow and transport. </w:t>
      </w:r>
      <w:proofErr w:type="spellStart"/>
      <w:r>
        <w:t>Ksat</w:t>
      </w:r>
      <w:proofErr w:type="spellEnd"/>
      <w:r>
        <w:t xml:space="preserve"> quantitatively defines a soil’s capacity to transmit water. Traditionally, NRCS (formerly SCS) used the term “permeability” for water-flow phenomena and used Permeability Classes (PC), which have prescribed percolation rate ranges (originally inches/</w:t>
      </w:r>
      <w:proofErr w:type="spellStart"/>
      <w:r>
        <w:t>hr</w:t>
      </w:r>
      <w:proofErr w:type="spellEnd"/>
      <w:r>
        <w:t xml:space="preserve">). The PC and associated percolation rates are commonly mistaken to be </w:t>
      </w:r>
      <w:proofErr w:type="spellStart"/>
      <w:r>
        <w:t>Ksat</w:t>
      </w:r>
      <w:proofErr w:type="spellEnd"/>
      <w:r>
        <w:t xml:space="preserve">. The confusion between </w:t>
      </w:r>
      <w:proofErr w:type="spellStart"/>
      <w:r>
        <w:t>Ksat</w:t>
      </w:r>
      <w:proofErr w:type="spellEnd"/>
      <w:r>
        <w:t>, the term “permeability,” and the Permeability Classes arises for several reasons (</w:t>
      </w:r>
      <w:proofErr w:type="spellStart"/>
      <w:r>
        <w:t>Wysocki</w:t>
      </w:r>
      <w:proofErr w:type="spellEnd"/>
      <w:r>
        <w:t xml:space="preserve"> et al., 2002). A primary reason is that the term “permeability” has three meanings in soil science.</w:t>
      </w:r>
    </w:p>
    <w:p w:rsidR="00CB5D4B" w:rsidRDefault="00CB5D4B">
      <w:r>
        <w:t>Saturated hydraulic conductivity (</w:t>
      </w:r>
      <w:proofErr w:type="spellStart"/>
      <w:r>
        <w:t>Ksat</w:t>
      </w:r>
      <w:proofErr w:type="spellEnd"/>
      <w:r>
        <w:t xml:space="preserve">) is the ease with which a saturated soil can transmit water through the pore space. </w:t>
      </w:r>
      <w:proofErr w:type="spellStart"/>
      <w:r>
        <w:t>Ksat</w:t>
      </w:r>
      <w:proofErr w:type="spellEnd"/>
      <w:r>
        <w:t xml:space="preserve"> is formally defined as the proportionality factor that relates water flow rate to the hydraulic gradient in Darcy’s equation (see Discussion). </w:t>
      </w:r>
      <w:proofErr w:type="spellStart"/>
      <w:r>
        <w:t>Ksat</w:t>
      </w:r>
      <w:proofErr w:type="spellEnd"/>
      <w:r>
        <w:t xml:space="preserve"> is a measurable soil property, or it may be estimated from other properties (texture, structure, bulk density, etc.). Direct field </w:t>
      </w:r>
      <w:proofErr w:type="spellStart"/>
      <w:r>
        <w:t>Ksat</w:t>
      </w:r>
      <w:proofErr w:type="spellEnd"/>
      <w:r>
        <w:t xml:space="preserve"> measurement is possible with various devices (</w:t>
      </w:r>
      <w:proofErr w:type="spellStart"/>
      <w:r>
        <w:t>Amoozemeter</w:t>
      </w:r>
      <w:proofErr w:type="spellEnd"/>
      <w:r>
        <w:t xml:space="preserve">, Guelph </w:t>
      </w:r>
      <w:proofErr w:type="spellStart"/>
      <w:r>
        <w:t>Permeameter</w:t>
      </w:r>
      <w:proofErr w:type="spellEnd"/>
      <w:r>
        <w:t xml:space="preserve">, </w:t>
      </w:r>
      <w:proofErr w:type="gramStart"/>
      <w:r>
        <w:t>double</w:t>
      </w:r>
      <w:proofErr w:type="gramEnd"/>
      <w:r>
        <w:t xml:space="preserve">-ring </w:t>
      </w:r>
      <w:proofErr w:type="spellStart"/>
      <w:r>
        <w:t>infiltrometer</w:t>
      </w:r>
      <w:proofErr w:type="spellEnd"/>
      <w:r>
        <w:t xml:space="preserve">). Multiple (e.g., USDA-NRCS 2–84 September 2012 ≥5) measurement replications are needed on a horizon or layer to capture the natural variation. Record an estimated </w:t>
      </w:r>
      <w:proofErr w:type="spellStart"/>
      <w:r>
        <w:t>Ksat</w:t>
      </w:r>
      <w:proofErr w:type="spellEnd"/>
      <w:r>
        <w:t xml:space="preserve"> class or a measured </w:t>
      </w:r>
      <w:proofErr w:type="spellStart"/>
      <w:r>
        <w:t>Ksat</w:t>
      </w:r>
      <w:proofErr w:type="spellEnd"/>
      <w:r>
        <w:t xml:space="preserve"> value for each horizon/layer. If measured, record the Average </w:t>
      </w:r>
      <w:proofErr w:type="spellStart"/>
      <w:r>
        <w:t>Ksat</w:t>
      </w:r>
      <w:proofErr w:type="spellEnd"/>
      <w:r>
        <w:t xml:space="preserve">, Standard Deviation, Replication Number (n), and Method. See NSSH, Exhibit 618.88 (Soil Survey Staff, 2012c) for guidelines for </w:t>
      </w:r>
      <w:proofErr w:type="spellStart"/>
      <w:r>
        <w:t>Ksat</w:t>
      </w:r>
      <w:proofErr w:type="spellEnd"/>
      <w:r>
        <w:t xml:space="preserve"> Class estimation using texture and bulk density (see p. 7–10).</w:t>
      </w:r>
      <w:bookmarkStart w:id="1" w:name="_GoBack"/>
      <w:bookmarkEnd w:id="1"/>
    </w:p>
    <w:p w:rsidR="003905CE" w:rsidRDefault="003905CE">
      <w:r>
        <w:rPr>
          <w:noProof/>
        </w:rPr>
        <w:lastRenderedPageBreak/>
        <w:drawing>
          <wp:inline distT="0" distB="0" distL="0" distR="0" wp14:anchorId="1CAC111C" wp14:editId="2F79BE9F">
            <wp:extent cx="5943600" cy="36277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3627755"/>
                    </a:xfrm>
                    <a:prstGeom prst="rect">
                      <a:avLst/>
                    </a:prstGeom>
                  </pic:spPr>
                </pic:pic>
              </a:graphicData>
            </a:graphic>
          </wp:inline>
        </w:drawing>
      </w:r>
      <w:r w:rsidRPr="003905CE">
        <w:rPr>
          <w:noProof/>
        </w:rPr>
        <w:t xml:space="preserve"> </w:t>
      </w:r>
      <w:r>
        <w:rPr>
          <w:noProof/>
        </w:rPr>
        <w:drawing>
          <wp:inline distT="0" distB="0" distL="0" distR="0" wp14:anchorId="33C85451" wp14:editId="63F294C5">
            <wp:extent cx="5857875" cy="36957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857875" cy="3695700"/>
                    </a:xfrm>
                    <a:prstGeom prst="rect">
                      <a:avLst/>
                    </a:prstGeom>
                  </pic:spPr>
                </pic:pic>
              </a:graphicData>
            </a:graphic>
          </wp:inline>
        </w:drawing>
      </w:r>
    </w:p>
    <w:p w:rsidR="003905CE" w:rsidRDefault="003905CE">
      <w:pPr>
        <w:rPr>
          <w:b/>
        </w:rPr>
      </w:pPr>
      <w:r>
        <w:rPr>
          <w:noProof/>
        </w:rPr>
        <w:lastRenderedPageBreak/>
        <w:drawing>
          <wp:inline distT="0" distB="0" distL="0" distR="0" wp14:anchorId="76FA1EBC" wp14:editId="3E9040D0">
            <wp:extent cx="5943600" cy="42856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4285615"/>
                    </a:xfrm>
                    <a:prstGeom prst="rect">
                      <a:avLst/>
                    </a:prstGeom>
                  </pic:spPr>
                </pic:pic>
              </a:graphicData>
            </a:graphic>
          </wp:inline>
        </w:drawing>
      </w:r>
    </w:p>
    <w:p w:rsidR="00C06F06" w:rsidRDefault="009F4765">
      <w:pPr>
        <w:rPr>
          <w:rFonts w:ascii="Verdana" w:hAnsi="Verdana" w:cs="Arial"/>
          <w:color w:val="191970"/>
          <w:sz w:val="20"/>
          <w:szCs w:val="20"/>
        </w:rPr>
      </w:pPr>
      <w:r>
        <w:rPr>
          <w:b/>
        </w:rPr>
        <w:t>Fig_Recharge.jpg</w:t>
      </w:r>
      <w:r>
        <w:t xml:space="preserve">    </w:t>
      </w:r>
      <w:r w:rsidR="00C06F06" w:rsidRPr="00C06F06">
        <w:rPr>
          <w:b/>
        </w:rPr>
        <w:t>Recharge</w:t>
      </w:r>
      <w:r w:rsidR="00C06F06">
        <w:t>: From the FDEP Metadata-</w:t>
      </w:r>
      <w:r w:rsidR="00C06F06">
        <w:rPr>
          <w:rFonts w:ascii="Verdana" w:hAnsi="Verdana" w:cs="Arial"/>
          <w:color w:val="191970"/>
          <w:sz w:val="20"/>
          <w:szCs w:val="20"/>
        </w:rPr>
        <w:t xml:space="preserve">A digital dataset was developed from selected reports published by the USGS as part of the RASA studies of the </w:t>
      </w:r>
      <w:proofErr w:type="spellStart"/>
      <w:r w:rsidR="00C06F06">
        <w:rPr>
          <w:rFonts w:ascii="Verdana" w:hAnsi="Verdana" w:cs="Arial"/>
          <w:color w:val="191970"/>
          <w:sz w:val="20"/>
          <w:szCs w:val="20"/>
        </w:rPr>
        <w:t>Floridan</w:t>
      </w:r>
      <w:proofErr w:type="spellEnd"/>
      <w:r w:rsidR="00C06F06">
        <w:rPr>
          <w:rFonts w:ascii="Verdana" w:hAnsi="Verdana" w:cs="Arial"/>
          <w:color w:val="191970"/>
          <w:sz w:val="20"/>
          <w:szCs w:val="20"/>
        </w:rPr>
        <w:t xml:space="preserve"> Aquifer System in the 1980's.  These reports contain maps and data depicting the extent, and elevation of both time-stratigraphic and </w:t>
      </w:r>
      <w:proofErr w:type="spellStart"/>
      <w:r w:rsidR="00C06F06">
        <w:rPr>
          <w:rFonts w:ascii="Verdana" w:hAnsi="Verdana" w:cs="Arial"/>
          <w:color w:val="191970"/>
          <w:sz w:val="20"/>
          <w:szCs w:val="20"/>
        </w:rPr>
        <w:t>hydrogeologic</w:t>
      </w:r>
      <w:proofErr w:type="spellEnd"/>
      <w:r w:rsidR="00C06F06">
        <w:rPr>
          <w:rFonts w:ascii="Verdana" w:hAnsi="Verdana" w:cs="Arial"/>
          <w:color w:val="191970"/>
          <w:sz w:val="20"/>
          <w:szCs w:val="20"/>
        </w:rPr>
        <w:t xml:space="preserve"> units. The dataset was created by digitization of electronic copies of selected 1:2,000,000 scale paper maps included in USGS PP 1403B (Miller 1986). This </w:t>
      </w:r>
      <w:proofErr w:type="spellStart"/>
      <w:r w:rsidR="00C06F06">
        <w:rPr>
          <w:rFonts w:ascii="Verdana" w:hAnsi="Verdana" w:cs="Arial"/>
          <w:color w:val="191970"/>
          <w:sz w:val="20"/>
          <w:szCs w:val="20"/>
        </w:rPr>
        <w:t>shapefile</w:t>
      </w:r>
      <w:proofErr w:type="spellEnd"/>
      <w:r w:rsidR="00C06F06">
        <w:rPr>
          <w:rFonts w:ascii="Verdana" w:hAnsi="Verdana" w:cs="Arial"/>
          <w:color w:val="191970"/>
          <w:sz w:val="20"/>
          <w:szCs w:val="20"/>
        </w:rPr>
        <w:t xml:space="preserve"> depicts the extent of the upper confining unit and the degree to which it confines the </w:t>
      </w:r>
      <w:proofErr w:type="spellStart"/>
      <w:r w:rsidR="00C06F06">
        <w:rPr>
          <w:rFonts w:ascii="Verdana" w:hAnsi="Verdana" w:cs="Arial"/>
          <w:color w:val="191970"/>
          <w:sz w:val="20"/>
          <w:szCs w:val="20"/>
        </w:rPr>
        <w:t>Floridan</w:t>
      </w:r>
      <w:proofErr w:type="spellEnd"/>
      <w:r w:rsidR="00C06F06">
        <w:rPr>
          <w:rFonts w:ascii="Verdana" w:hAnsi="Verdana" w:cs="Arial"/>
          <w:color w:val="191970"/>
          <w:sz w:val="20"/>
          <w:szCs w:val="20"/>
        </w:rPr>
        <w:t xml:space="preserve"> aquifer system.</w:t>
      </w:r>
    </w:p>
    <w:p w:rsidR="00C06F06" w:rsidRPr="00C06F06" w:rsidRDefault="00C06F06" w:rsidP="00C06F06">
      <w:pPr>
        <w:shd w:val="clear" w:color="auto" w:fill="FFFFFF"/>
        <w:spacing w:after="0" w:line="324" w:lineRule="auto"/>
        <w:rPr>
          <w:rFonts w:ascii="Verdana" w:eastAsia="Times New Roman" w:hAnsi="Verdana" w:cs="Arial"/>
          <w:color w:val="191970"/>
          <w:sz w:val="20"/>
          <w:szCs w:val="20"/>
        </w:rPr>
      </w:pPr>
      <w:r w:rsidRPr="00C06F06">
        <w:rPr>
          <w:rFonts w:ascii="Verdana" w:eastAsia="Times New Roman" w:hAnsi="Verdana" w:cs="Arial"/>
          <w:i/>
          <w:iCs/>
          <w:color w:val="191970"/>
          <w:sz w:val="20"/>
          <w:szCs w:val="20"/>
        </w:rPr>
        <w:t xml:space="preserve">Who created the data: </w:t>
      </w:r>
      <w:proofErr w:type="spellStart"/>
      <w:r w:rsidRPr="00C06F06">
        <w:rPr>
          <w:rFonts w:ascii="Verdana" w:eastAsia="Times New Roman" w:hAnsi="Verdana" w:cs="Arial"/>
          <w:color w:val="191970"/>
          <w:sz w:val="20"/>
          <w:szCs w:val="20"/>
        </w:rPr>
        <w:t>Bellino</w:t>
      </w:r>
      <w:proofErr w:type="spellEnd"/>
      <w:r w:rsidRPr="00C06F06">
        <w:rPr>
          <w:rFonts w:ascii="Verdana" w:eastAsia="Times New Roman" w:hAnsi="Verdana" w:cs="Arial"/>
          <w:color w:val="191970"/>
          <w:sz w:val="20"/>
          <w:szCs w:val="20"/>
        </w:rPr>
        <w:t xml:space="preserve">, Jason </w:t>
      </w:r>
      <w:proofErr w:type="gramStart"/>
      <w:r w:rsidRPr="00C06F06">
        <w:rPr>
          <w:rFonts w:ascii="Verdana" w:eastAsia="Times New Roman" w:hAnsi="Verdana" w:cs="Arial"/>
          <w:color w:val="191970"/>
          <w:sz w:val="20"/>
          <w:szCs w:val="20"/>
        </w:rPr>
        <w:t>C.</w:t>
      </w:r>
      <w:proofErr w:type="gramEnd"/>
    </w:p>
    <w:p w:rsidR="00C06F06" w:rsidRPr="00C06F06" w:rsidRDefault="00C06F06" w:rsidP="00C06F06">
      <w:pPr>
        <w:shd w:val="clear" w:color="auto" w:fill="FFFFFF"/>
        <w:spacing w:after="0" w:line="324" w:lineRule="auto"/>
        <w:rPr>
          <w:rFonts w:ascii="Verdana" w:eastAsia="Times New Roman" w:hAnsi="Verdana" w:cs="Arial"/>
          <w:color w:val="191970"/>
          <w:sz w:val="20"/>
          <w:szCs w:val="20"/>
        </w:rPr>
      </w:pPr>
      <w:r w:rsidRPr="00C06F06">
        <w:rPr>
          <w:rFonts w:ascii="Verdana" w:eastAsia="Times New Roman" w:hAnsi="Verdana" w:cs="Arial"/>
          <w:i/>
          <w:iCs/>
          <w:color w:val="191970"/>
          <w:sz w:val="20"/>
          <w:szCs w:val="20"/>
        </w:rPr>
        <w:t xml:space="preserve">Date and time: </w:t>
      </w:r>
      <w:r w:rsidRPr="00C06F06">
        <w:rPr>
          <w:rFonts w:ascii="Verdana" w:eastAsia="Times New Roman" w:hAnsi="Verdana" w:cs="Arial"/>
          <w:color w:val="191970"/>
          <w:sz w:val="20"/>
          <w:szCs w:val="20"/>
        </w:rPr>
        <w:t>2011</w:t>
      </w:r>
    </w:p>
    <w:p w:rsidR="00C06F06" w:rsidRPr="00C06F06" w:rsidRDefault="00C06F06" w:rsidP="00C06F06">
      <w:pPr>
        <w:shd w:val="clear" w:color="auto" w:fill="FFFFFF"/>
        <w:spacing w:after="0" w:line="324" w:lineRule="auto"/>
        <w:rPr>
          <w:rFonts w:ascii="Verdana" w:eastAsia="Times New Roman" w:hAnsi="Verdana" w:cs="Arial"/>
          <w:color w:val="191970"/>
          <w:sz w:val="20"/>
          <w:szCs w:val="20"/>
        </w:rPr>
      </w:pPr>
      <w:r w:rsidRPr="00C06F06">
        <w:rPr>
          <w:rFonts w:ascii="Verdana" w:eastAsia="Times New Roman" w:hAnsi="Verdana" w:cs="Arial"/>
          <w:i/>
          <w:iCs/>
          <w:color w:val="191970"/>
          <w:sz w:val="20"/>
          <w:szCs w:val="20"/>
        </w:rPr>
        <w:t xml:space="preserve">Publisher and place: </w:t>
      </w:r>
      <w:r w:rsidRPr="00C06F06">
        <w:rPr>
          <w:rFonts w:ascii="Verdana" w:eastAsia="Times New Roman" w:hAnsi="Verdana" w:cs="Arial"/>
          <w:color w:val="191970"/>
          <w:sz w:val="20"/>
          <w:szCs w:val="20"/>
        </w:rPr>
        <w:t xml:space="preserve">U.S. Geological Survey, Reston, VA </w:t>
      </w:r>
    </w:p>
    <w:p w:rsidR="00C06F06" w:rsidRPr="00C06F06" w:rsidRDefault="00C06F06" w:rsidP="00C06F06">
      <w:pPr>
        <w:shd w:val="clear" w:color="auto" w:fill="FFFFFF"/>
        <w:spacing w:after="0" w:line="324" w:lineRule="auto"/>
        <w:rPr>
          <w:rFonts w:ascii="Verdana" w:eastAsia="Times New Roman" w:hAnsi="Verdana" w:cs="Arial"/>
          <w:color w:val="191970"/>
          <w:sz w:val="20"/>
          <w:szCs w:val="20"/>
        </w:rPr>
      </w:pPr>
      <w:r w:rsidRPr="00C06F06">
        <w:rPr>
          <w:rFonts w:ascii="Verdana" w:eastAsia="Times New Roman" w:hAnsi="Verdana" w:cs="Arial"/>
          <w:i/>
          <w:iCs/>
          <w:color w:val="191970"/>
          <w:sz w:val="20"/>
          <w:szCs w:val="20"/>
        </w:rPr>
        <w:t xml:space="preserve">Series name: </w:t>
      </w:r>
      <w:r w:rsidRPr="00C06F06">
        <w:rPr>
          <w:rFonts w:ascii="Verdana" w:eastAsia="Times New Roman" w:hAnsi="Verdana" w:cs="Arial"/>
          <w:color w:val="191970"/>
          <w:sz w:val="20"/>
          <w:szCs w:val="20"/>
        </w:rPr>
        <w:t>Data Series</w:t>
      </w:r>
    </w:p>
    <w:p w:rsidR="00C06F06" w:rsidRPr="00C06F06" w:rsidRDefault="00C06F06" w:rsidP="00C06F06">
      <w:pPr>
        <w:shd w:val="clear" w:color="auto" w:fill="FFFFFF"/>
        <w:spacing w:line="324" w:lineRule="auto"/>
        <w:rPr>
          <w:rFonts w:ascii="Verdana" w:eastAsia="Times New Roman" w:hAnsi="Verdana" w:cs="Arial"/>
          <w:color w:val="191970"/>
          <w:sz w:val="20"/>
          <w:szCs w:val="20"/>
        </w:rPr>
      </w:pPr>
      <w:r w:rsidRPr="00C06F06">
        <w:rPr>
          <w:rFonts w:ascii="Verdana" w:eastAsia="Times New Roman" w:hAnsi="Verdana" w:cs="Arial"/>
          <w:i/>
          <w:iCs/>
          <w:color w:val="191970"/>
          <w:sz w:val="20"/>
          <w:szCs w:val="20"/>
        </w:rPr>
        <w:t xml:space="preserve">Series issue: </w:t>
      </w:r>
      <w:r w:rsidRPr="00C06F06">
        <w:rPr>
          <w:rFonts w:ascii="Verdana" w:eastAsia="Times New Roman" w:hAnsi="Verdana" w:cs="Arial"/>
          <w:color w:val="191970"/>
          <w:sz w:val="20"/>
          <w:szCs w:val="20"/>
        </w:rPr>
        <w:t>584</w:t>
      </w:r>
    </w:p>
    <w:p w:rsidR="00C06F06" w:rsidRDefault="009F4765">
      <w:proofErr w:type="spellStart"/>
      <w:r>
        <w:rPr>
          <w:b/>
        </w:rPr>
        <w:t>Fig_Current</w:t>
      </w:r>
      <w:proofErr w:type="spellEnd"/>
      <w:r>
        <w:rPr>
          <w:b/>
        </w:rPr>
        <w:t xml:space="preserve"> treatmentType.jpg</w:t>
      </w:r>
      <w:r>
        <w:t xml:space="preserve"> </w:t>
      </w:r>
      <w:r>
        <w:rPr>
          <w:b/>
        </w:rPr>
        <w:t xml:space="preserve">  </w:t>
      </w:r>
      <w:r w:rsidR="002F4CED" w:rsidRPr="002F4CED">
        <w:rPr>
          <w:b/>
        </w:rPr>
        <w:t>Treatment Type</w:t>
      </w:r>
      <w:r w:rsidR="00616735">
        <w:rPr>
          <w:b/>
        </w:rPr>
        <w:t xml:space="preserve"> Available</w:t>
      </w:r>
      <w:r w:rsidR="002F4CED">
        <w:t xml:space="preserve">: this is a figure showing the “best estimate” of treatment type.  Values will be Tallahassee Sewer, Septic, </w:t>
      </w:r>
      <w:proofErr w:type="spellStart"/>
      <w:r w:rsidR="005C45AC">
        <w:t>Talquin</w:t>
      </w:r>
      <w:proofErr w:type="spellEnd"/>
      <w:r w:rsidR="005C45AC">
        <w:t xml:space="preserve"> Sewer</w:t>
      </w:r>
      <w:r w:rsidR="00D02018">
        <w:t xml:space="preserve">, national forest or open </w:t>
      </w:r>
      <w:r w:rsidR="005C45AC">
        <w:t>land. For natural areas I downloaded the latest version (Aug2019) of Florida Natural Areas Inventory (FNAI) data.</w:t>
      </w:r>
    </w:p>
    <w:p w:rsidR="00D02018" w:rsidRDefault="00D02018" w:rsidP="00D02018">
      <w:pPr>
        <w:pStyle w:val="ListParagraph"/>
        <w:numPr>
          <w:ilvl w:val="0"/>
          <w:numId w:val="3"/>
        </w:numPr>
      </w:pPr>
      <w:r>
        <w:t>Select all features within 250 feet of City Sewer Lines = 70,</w:t>
      </w:r>
      <w:r w:rsidR="00AE58CA">
        <w:t>15</w:t>
      </w:r>
      <w:r>
        <w:t>2 selected</w:t>
      </w:r>
    </w:p>
    <w:p w:rsidR="00D02018" w:rsidRDefault="00D02018" w:rsidP="00D02018">
      <w:pPr>
        <w:pStyle w:val="ListParagraph"/>
        <w:numPr>
          <w:ilvl w:val="0"/>
          <w:numId w:val="3"/>
        </w:numPr>
      </w:pPr>
      <w:r>
        <w:lastRenderedPageBreak/>
        <w:t xml:space="preserve">Select all features touching  </w:t>
      </w:r>
      <w:proofErr w:type="spellStart"/>
      <w:r>
        <w:t>Talquin</w:t>
      </w:r>
      <w:proofErr w:type="spellEnd"/>
      <w:r>
        <w:t xml:space="preserve"> Sewer system = </w:t>
      </w:r>
      <w:r w:rsidR="00F028D5">
        <w:t>5,7</w:t>
      </w:r>
      <w:r w:rsidR="00AE58CA">
        <w:t>46</w:t>
      </w:r>
      <w:r w:rsidR="00F028D5">
        <w:t xml:space="preserve"> parcels selected, </w:t>
      </w:r>
      <w:r w:rsidR="005C45AC">
        <w:t>200</w:t>
      </w:r>
      <w:r w:rsidR="00F028D5">
        <w:t xml:space="preserve"> were already selected as City Sewer but have been changed to </w:t>
      </w:r>
      <w:proofErr w:type="spellStart"/>
      <w:r w:rsidR="00F028D5">
        <w:t>Talquin</w:t>
      </w:r>
      <w:proofErr w:type="spellEnd"/>
    </w:p>
    <w:p w:rsidR="005C45AC" w:rsidRDefault="005C45AC" w:rsidP="00D02018">
      <w:pPr>
        <w:pStyle w:val="ListParagraph"/>
        <w:numPr>
          <w:ilvl w:val="0"/>
          <w:numId w:val="3"/>
        </w:numPr>
      </w:pPr>
      <w:r>
        <w:t>Selected all features that have their center within the FLMA polygons – 33</w:t>
      </w:r>
      <w:r w:rsidR="00AE58CA">
        <w:t>3</w:t>
      </w:r>
      <w:r>
        <w:t xml:space="preserve"> selected with 7 from </w:t>
      </w:r>
      <w:proofErr w:type="spellStart"/>
      <w:r>
        <w:t>Talquin</w:t>
      </w:r>
      <w:proofErr w:type="spellEnd"/>
      <w:r>
        <w:t xml:space="preserve"> and</w:t>
      </w:r>
      <w:r w:rsidR="00616735">
        <w:t xml:space="preserve"> </w:t>
      </w:r>
      <w:r w:rsidR="00AE58CA">
        <w:t>40</w:t>
      </w:r>
      <w:r>
        <w:t xml:space="preserve"> from Tallahassee changed to Open Land</w:t>
      </w:r>
    </w:p>
    <w:p w:rsidR="00616735" w:rsidRDefault="00616735" w:rsidP="00D02018">
      <w:pPr>
        <w:pStyle w:val="ListParagraph"/>
        <w:numPr>
          <w:ilvl w:val="0"/>
          <w:numId w:val="3"/>
        </w:numPr>
      </w:pPr>
      <w:r>
        <w:t>All remaining parcels are labeled as Septic =33,174</w:t>
      </w:r>
    </w:p>
    <w:p w:rsidR="00CE2AD1" w:rsidRDefault="00A45569" w:rsidP="00CE2AD1">
      <w:r>
        <w:rPr>
          <w:b/>
        </w:rPr>
        <w:t>Fig_KarstFeatures.jpg</w:t>
      </w:r>
      <w:r>
        <w:t xml:space="preserve">   </w:t>
      </w:r>
      <w:r w:rsidR="00CE2AD1" w:rsidRPr="00CE2AD1">
        <w:rPr>
          <w:b/>
        </w:rPr>
        <w:t>Karst Features</w:t>
      </w:r>
      <w:r w:rsidR="00CE2AD1">
        <w:t xml:space="preserve">: </w:t>
      </w:r>
      <w:proofErr w:type="spellStart"/>
      <w:r w:rsidR="00CE2AD1">
        <w:t>Waterbodies</w:t>
      </w:r>
      <w:proofErr w:type="spellEnd"/>
      <w:r w:rsidR="00CE2AD1">
        <w:t xml:space="preserve"> and Potential Karst Features, the potential karst features.  Many of the lakes are called potential karst because they are known to have sinkholes and </w:t>
      </w:r>
      <w:proofErr w:type="spellStart"/>
      <w:r w:rsidR="00CE2AD1">
        <w:t>swallets</w:t>
      </w:r>
      <w:proofErr w:type="spellEnd"/>
      <w:r w:rsidR="00CE2AD1">
        <w:t xml:space="preserve"> in the lake bottoms.  The only one they missed is Lake Miccosukee over to the east (but technically it’s in Jefferson County)</w:t>
      </w:r>
      <w:r>
        <w:t xml:space="preserve">.  Also, </w:t>
      </w:r>
      <w:proofErr w:type="gramStart"/>
      <w:r>
        <w:t>In</w:t>
      </w:r>
      <w:proofErr w:type="gramEnd"/>
      <w:r>
        <w:t xml:space="preserve"> my professional opinion, all the lakes to the southeast in the unconfined area are karst related and have a connection to the underlying aquifer.</w:t>
      </w:r>
    </w:p>
    <w:p w:rsidR="009512AC" w:rsidRDefault="00B72ACE" w:rsidP="00CE2AD1">
      <w:proofErr w:type="gramStart"/>
      <w:r w:rsidRPr="009512AC">
        <w:rPr>
          <w:b/>
        </w:rPr>
        <w:t>Septic Parcels and future septic parcels</w:t>
      </w:r>
      <w:r>
        <w:t>.</w:t>
      </w:r>
      <w:proofErr w:type="gramEnd"/>
      <w:r>
        <w:t xml:space="preserve">  Start with Treatment type layer, which for GIS purposes is the </w:t>
      </w:r>
      <w:proofErr w:type="spellStart"/>
      <w:r w:rsidR="00EA0EDB">
        <w:t>Tax_Parcels</w:t>
      </w:r>
      <w:proofErr w:type="spellEnd"/>
      <w:r w:rsidR="00EA0EDB">
        <w:t xml:space="preserve"> with the treatment type category as septic.  Existing land use has a category for Residential Units</w:t>
      </w:r>
      <w:r w:rsidR="002A02AC">
        <w:t xml:space="preserve">.  </w:t>
      </w:r>
      <w:r w:rsidR="00074760">
        <w:t xml:space="preserve">Take the Tax Parcels that are Potential septic.  </w:t>
      </w:r>
      <w:r w:rsidR="00DF31A8">
        <w:t>Will now try to apply a residential Density Unit for the “vacant” parcels</w:t>
      </w:r>
    </w:p>
    <w:p w:rsidR="009512AC" w:rsidRDefault="00074760" w:rsidP="009512AC">
      <w:pPr>
        <w:pStyle w:val="ListParagraph"/>
        <w:numPr>
          <w:ilvl w:val="0"/>
          <w:numId w:val="5"/>
        </w:numPr>
      </w:pPr>
      <w:r>
        <w:t xml:space="preserve">Added a field for if in or out of Woodville project area and another if res units from existing LU = 0.  </w:t>
      </w:r>
      <w:r w:rsidR="009512AC">
        <w:t>In boundary =951 and out boundary = 32,223</w:t>
      </w:r>
    </w:p>
    <w:p w:rsidR="00B72ACE" w:rsidRDefault="007734F7" w:rsidP="009512AC">
      <w:pPr>
        <w:pStyle w:val="ListParagraph"/>
        <w:numPr>
          <w:ilvl w:val="0"/>
          <w:numId w:val="4"/>
        </w:numPr>
      </w:pPr>
      <w:r>
        <w:t>Added a f</w:t>
      </w:r>
      <w:r w:rsidR="00074760">
        <w:t>ield is</w:t>
      </w:r>
      <w:r>
        <w:t xml:space="preserve"> called Vacant.  Query was “Existing land </w:t>
      </w:r>
      <w:proofErr w:type="spellStart"/>
      <w:r>
        <w:t>use.Residential</w:t>
      </w:r>
      <w:proofErr w:type="spellEnd"/>
      <w:r>
        <w:t xml:space="preserve"> Units = 0 and then executed a select by location to tax parcels (Potential Septic) </w:t>
      </w:r>
      <w:r w:rsidR="00074760">
        <w:t>and it is yes/no</w:t>
      </w:r>
      <w:r w:rsidR="009512AC">
        <w:t xml:space="preserve">.  Selection was 7526 parcels were vacant and 25,648 are occupied. </w:t>
      </w:r>
    </w:p>
    <w:p w:rsidR="00DF31A8" w:rsidRDefault="00DF31A8" w:rsidP="009512AC">
      <w:pPr>
        <w:pStyle w:val="ListParagraph"/>
        <w:numPr>
          <w:ilvl w:val="0"/>
          <w:numId w:val="4"/>
        </w:numPr>
      </w:pPr>
      <w:r>
        <w:t xml:space="preserve">To do this, I will intersect the </w:t>
      </w:r>
      <w:proofErr w:type="spellStart"/>
      <w:r>
        <w:t>TAX_Parcels</w:t>
      </w:r>
      <w:proofErr w:type="spellEnd"/>
      <w:r>
        <w:t xml:space="preserve"> (Potential Septic) with the Potential Future Dwellings polygon and recalculate the RDU based on the parcel </w:t>
      </w:r>
      <w:proofErr w:type="spellStart"/>
      <w:r>
        <w:t>acrages</w:t>
      </w:r>
      <w:proofErr w:type="spellEnd"/>
      <w:r>
        <w:t xml:space="preserve"> and not the </w:t>
      </w:r>
      <w:proofErr w:type="spellStart"/>
      <w:r>
        <w:t>futlu</w:t>
      </w:r>
      <w:proofErr w:type="spellEnd"/>
      <w:r>
        <w:t xml:space="preserve"> polygons which are huge.</w:t>
      </w:r>
      <w:r w:rsidR="007734F7">
        <w:t xml:space="preserve">  Did that and recalculated but …. Made a mistake because I included developed parcels.</w:t>
      </w:r>
    </w:p>
    <w:p w:rsidR="007734F7" w:rsidRDefault="007734F7" w:rsidP="009512AC">
      <w:pPr>
        <w:pStyle w:val="ListParagraph"/>
        <w:numPr>
          <w:ilvl w:val="0"/>
          <w:numId w:val="4"/>
        </w:numPr>
      </w:pPr>
      <w:r>
        <w:t xml:space="preserve">To fix, performed a spatial join with existing land use to get the values that are NOT = 0.  If there is a value greater than 0 it will be put in the field </w:t>
      </w:r>
      <w:proofErr w:type="spellStart"/>
      <w:r>
        <w:t>ActDenperA</w:t>
      </w:r>
      <w:proofErr w:type="spellEnd"/>
      <w:r>
        <w:t xml:space="preserve"> (actual density per acre).</w:t>
      </w:r>
    </w:p>
    <w:p w:rsidR="005D36DC" w:rsidRDefault="007F1EE7" w:rsidP="007F1EE7">
      <w:r w:rsidRPr="007F1EE7">
        <w:rPr>
          <w:b/>
        </w:rPr>
        <w:t xml:space="preserve">Fig Septic Parcels with </w:t>
      </w:r>
      <w:proofErr w:type="spellStart"/>
      <w:r w:rsidRPr="007F1EE7">
        <w:rPr>
          <w:b/>
        </w:rPr>
        <w:t>buildout</w:t>
      </w:r>
      <w:proofErr w:type="spellEnd"/>
      <w:r>
        <w:t xml:space="preserve">.  There was a lot of manipulation and start/stop/begin again to get this figure.  Basically, if the lot is potential septic it is </w:t>
      </w:r>
      <w:proofErr w:type="gramStart"/>
      <w:r>
        <w:t>in  here</w:t>
      </w:r>
      <w:proofErr w:type="gramEnd"/>
      <w:r>
        <w:t xml:space="preserve">.  If it has a residential unit value from the 2018 land use, it is carried over to the potential </w:t>
      </w:r>
      <w:proofErr w:type="spellStart"/>
      <w:r>
        <w:t>buildout</w:t>
      </w:r>
      <w:proofErr w:type="spellEnd"/>
      <w:r>
        <w:t xml:space="preserve">.  To get the number for the </w:t>
      </w:r>
      <w:proofErr w:type="spellStart"/>
      <w:r>
        <w:t>remaing</w:t>
      </w:r>
      <w:proofErr w:type="spellEnd"/>
      <w:r>
        <w:t xml:space="preserve"> 7,700 I had to use the Potential Future Dwellings layer and performed a spatial join.  This is not an exact calculation so I took </w:t>
      </w:r>
      <w:proofErr w:type="spellStart"/>
      <w:r>
        <w:t>avg</w:t>
      </w:r>
      <w:proofErr w:type="spellEnd"/>
      <w:r>
        <w:t>, min and max values for potential dwellings from the join.  This is done because in some cases, the parcel intersected more than one polygon in the future land use (Po</w:t>
      </w:r>
      <w:r w:rsidR="005D36DC">
        <w:t>tential future Dwellings) layer.  Add to that, some parcels came out with a potential res unit of 0.3 or 0.1 but were surrounded by areas that were equal to 1.  So, I took the minimum value, say 0.333 then calculated a new maximum of 1, this was only done for parcels that had both the min and max below 1.  These new values were used to calculate a minimum potential build out and a maximum potential build out.  The values were averaged to create the new bailout figure.</w:t>
      </w:r>
    </w:p>
    <w:sectPr w:rsidR="005D3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01C4"/>
    <w:multiLevelType w:val="hybridMultilevel"/>
    <w:tmpl w:val="E0C8D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67464"/>
    <w:multiLevelType w:val="hybridMultilevel"/>
    <w:tmpl w:val="D6C61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745C05"/>
    <w:multiLevelType w:val="hybridMultilevel"/>
    <w:tmpl w:val="C924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AE71C1"/>
    <w:multiLevelType w:val="hybridMultilevel"/>
    <w:tmpl w:val="ABFA3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DE7EE9"/>
    <w:multiLevelType w:val="hybridMultilevel"/>
    <w:tmpl w:val="EA22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AB7A46"/>
    <w:multiLevelType w:val="hybridMultilevel"/>
    <w:tmpl w:val="1EAE8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B19"/>
    <w:rsid w:val="00074760"/>
    <w:rsid w:val="001B71D1"/>
    <w:rsid w:val="00231BC7"/>
    <w:rsid w:val="002A02AC"/>
    <w:rsid w:val="002F4CED"/>
    <w:rsid w:val="003905CE"/>
    <w:rsid w:val="003C3C6D"/>
    <w:rsid w:val="0047672B"/>
    <w:rsid w:val="00485467"/>
    <w:rsid w:val="00562CFA"/>
    <w:rsid w:val="005C45AC"/>
    <w:rsid w:val="005D36DC"/>
    <w:rsid w:val="00616735"/>
    <w:rsid w:val="006307AD"/>
    <w:rsid w:val="00644A60"/>
    <w:rsid w:val="00722C14"/>
    <w:rsid w:val="007734F7"/>
    <w:rsid w:val="007A2445"/>
    <w:rsid w:val="007F1EE7"/>
    <w:rsid w:val="007F7376"/>
    <w:rsid w:val="008B61FA"/>
    <w:rsid w:val="008E77A3"/>
    <w:rsid w:val="00911696"/>
    <w:rsid w:val="00934B19"/>
    <w:rsid w:val="00937DB4"/>
    <w:rsid w:val="009512AC"/>
    <w:rsid w:val="009B3A01"/>
    <w:rsid w:val="009F4765"/>
    <w:rsid w:val="00A45569"/>
    <w:rsid w:val="00AE58CA"/>
    <w:rsid w:val="00B72ACE"/>
    <w:rsid w:val="00C06F06"/>
    <w:rsid w:val="00CB5D4B"/>
    <w:rsid w:val="00CE2AD1"/>
    <w:rsid w:val="00D02018"/>
    <w:rsid w:val="00D605CD"/>
    <w:rsid w:val="00DF31A8"/>
    <w:rsid w:val="00E82303"/>
    <w:rsid w:val="00EA0EDB"/>
    <w:rsid w:val="00F028D5"/>
    <w:rsid w:val="00FA5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A01"/>
    <w:rPr>
      <w:color w:val="0000FF"/>
      <w:u w:val="single"/>
    </w:rPr>
  </w:style>
  <w:style w:type="paragraph" w:styleId="HTMLPreformatted">
    <w:name w:val="HTML Preformatted"/>
    <w:basedOn w:val="Normal"/>
    <w:link w:val="HTMLPreformattedChar"/>
    <w:uiPriority w:val="99"/>
    <w:semiHidden/>
    <w:unhideWhenUsed/>
    <w:rsid w:val="009B3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B3A01"/>
    <w:rPr>
      <w:rFonts w:ascii="Courier New" w:eastAsia="Times New Roman" w:hAnsi="Courier New" w:cs="Courier New"/>
      <w:sz w:val="20"/>
      <w:szCs w:val="20"/>
    </w:rPr>
  </w:style>
  <w:style w:type="paragraph" w:styleId="Caption">
    <w:name w:val="caption"/>
    <w:aliases w:val="-Fig"/>
    <w:basedOn w:val="Normal"/>
    <w:next w:val="Normal"/>
    <w:link w:val="CaptionChar"/>
    <w:qFormat/>
    <w:rsid w:val="00485467"/>
    <w:pPr>
      <w:spacing w:after="0" w:line="240" w:lineRule="auto"/>
      <w:jc w:val="both"/>
    </w:pPr>
    <w:rPr>
      <w:rFonts w:ascii="Verdana" w:eastAsia="Times New Roman" w:hAnsi="Verdana" w:cs="Times New Roman"/>
      <w:b/>
      <w:bCs/>
      <w:sz w:val="16"/>
      <w:szCs w:val="20"/>
    </w:rPr>
  </w:style>
  <w:style w:type="character" w:customStyle="1" w:styleId="CaptionChar">
    <w:name w:val="Caption Char"/>
    <w:aliases w:val="-Fig Char"/>
    <w:basedOn w:val="DefaultParagraphFont"/>
    <w:link w:val="Caption"/>
    <w:rsid w:val="00485467"/>
    <w:rPr>
      <w:rFonts w:ascii="Verdana" w:eastAsia="Times New Roman" w:hAnsi="Verdana" w:cs="Times New Roman"/>
      <w:b/>
      <w:bCs/>
      <w:sz w:val="16"/>
      <w:szCs w:val="20"/>
    </w:rPr>
  </w:style>
  <w:style w:type="paragraph" w:styleId="BalloonText">
    <w:name w:val="Balloon Text"/>
    <w:basedOn w:val="Normal"/>
    <w:link w:val="BalloonTextChar"/>
    <w:uiPriority w:val="99"/>
    <w:semiHidden/>
    <w:unhideWhenUsed/>
    <w:rsid w:val="00485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67"/>
    <w:rPr>
      <w:rFonts w:ascii="Tahoma" w:hAnsi="Tahoma" w:cs="Tahoma"/>
      <w:sz w:val="16"/>
      <w:szCs w:val="16"/>
    </w:rPr>
  </w:style>
  <w:style w:type="paragraph" w:styleId="ListParagraph">
    <w:name w:val="List Paragraph"/>
    <w:basedOn w:val="Normal"/>
    <w:uiPriority w:val="34"/>
    <w:qFormat/>
    <w:rsid w:val="008B61FA"/>
    <w:pPr>
      <w:ind w:left="720"/>
      <w:contextualSpacing/>
    </w:pPr>
  </w:style>
  <w:style w:type="character" w:customStyle="1" w:styleId="lt21">
    <w:name w:val="lt21"/>
    <w:basedOn w:val="DefaultParagraphFont"/>
    <w:rsid w:val="00C06F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A01"/>
    <w:rPr>
      <w:color w:val="0000FF"/>
      <w:u w:val="single"/>
    </w:rPr>
  </w:style>
  <w:style w:type="paragraph" w:styleId="HTMLPreformatted">
    <w:name w:val="HTML Preformatted"/>
    <w:basedOn w:val="Normal"/>
    <w:link w:val="HTMLPreformattedChar"/>
    <w:uiPriority w:val="99"/>
    <w:semiHidden/>
    <w:unhideWhenUsed/>
    <w:rsid w:val="009B3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B3A01"/>
    <w:rPr>
      <w:rFonts w:ascii="Courier New" w:eastAsia="Times New Roman" w:hAnsi="Courier New" w:cs="Courier New"/>
      <w:sz w:val="20"/>
      <w:szCs w:val="20"/>
    </w:rPr>
  </w:style>
  <w:style w:type="paragraph" w:styleId="Caption">
    <w:name w:val="caption"/>
    <w:aliases w:val="-Fig"/>
    <w:basedOn w:val="Normal"/>
    <w:next w:val="Normal"/>
    <w:link w:val="CaptionChar"/>
    <w:qFormat/>
    <w:rsid w:val="00485467"/>
    <w:pPr>
      <w:spacing w:after="0" w:line="240" w:lineRule="auto"/>
      <w:jc w:val="both"/>
    </w:pPr>
    <w:rPr>
      <w:rFonts w:ascii="Verdana" w:eastAsia="Times New Roman" w:hAnsi="Verdana" w:cs="Times New Roman"/>
      <w:b/>
      <w:bCs/>
      <w:sz w:val="16"/>
      <w:szCs w:val="20"/>
    </w:rPr>
  </w:style>
  <w:style w:type="character" w:customStyle="1" w:styleId="CaptionChar">
    <w:name w:val="Caption Char"/>
    <w:aliases w:val="-Fig Char"/>
    <w:basedOn w:val="DefaultParagraphFont"/>
    <w:link w:val="Caption"/>
    <w:rsid w:val="00485467"/>
    <w:rPr>
      <w:rFonts w:ascii="Verdana" w:eastAsia="Times New Roman" w:hAnsi="Verdana" w:cs="Times New Roman"/>
      <w:b/>
      <w:bCs/>
      <w:sz w:val="16"/>
      <w:szCs w:val="20"/>
    </w:rPr>
  </w:style>
  <w:style w:type="paragraph" w:styleId="BalloonText">
    <w:name w:val="Balloon Text"/>
    <w:basedOn w:val="Normal"/>
    <w:link w:val="BalloonTextChar"/>
    <w:uiPriority w:val="99"/>
    <w:semiHidden/>
    <w:unhideWhenUsed/>
    <w:rsid w:val="00485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67"/>
    <w:rPr>
      <w:rFonts w:ascii="Tahoma" w:hAnsi="Tahoma" w:cs="Tahoma"/>
      <w:sz w:val="16"/>
      <w:szCs w:val="16"/>
    </w:rPr>
  </w:style>
  <w:style w:type="paragraph" w:styleId="ListParagraph">
    <w:name w:val="List Paragraph"/>
    <w:basedOn w:val="Normal"/>
    <w:uiPriority w:val="34"/>
    <w:qFormat/>
    <w:rsid w:val="008B61FA"/>
    <w:pPr>
      <w:ind w:left="720"/>
      <w:contextualSpacing/>
    </w:pPr>
  </w:style>
  <w:style w:type="character" w:customStyle="1" w:styleId="lt21">
    <w:name w:val="lt21"/>
    <w:basedOn w:val="DefaultParagraphFont"/>
    <w:rsid w:val="00C06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6288">
      <w:bodyDiv w:val="1"/>
      <w:marLeft w:val="0"/>
      <w:marRight w:val="0"/>
      <w:marTop w:val="0"/>
      <w:marBottom w:val="0"/>
      <w:divBdr>
        <w:top w:val="none" w:sz="0" w:space="0" w:color="auto"/>
        <w:left w:val="none" w:sz="0" w:space="0" w:color="auto"/>
        <w:bottom w:val="none" w:sz="0" w:space="0" w:color="auto"/>
        <w:right w:val="none" w:sz="0" w:space="0" w:color="auto"/>
      </w:divBdr>
    </w:div>
    <w:div w:id="795175814">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407996758">
          <w:marLeft w:val="0"/>
          <w:marRight w:val="0"/>
          <w:marTop w:val="0"/>
          <w:marBottom w:val="0"/>
          <w:divBdr>
            <w:top w:val="none" w:sz="0" w:space="0" w:color="auto"/>
            <w:left w:val="none" w:sz="0" w:space="0" w:color="auto"/>
            <w:bottom w:val="none" w:sz="0" w:space="0" w:color="auto"/>
            <w:right w:val="none" w:sz="0" w:space="0" w:color="auto"/>
          </w:divBdr>
          <w:divsChild>
            <w:div w:id="1820031707">
              <w:marLeft w:val="216"/>
              <w:marRight w:val="216"/>
              <w:marTop w:val="0"/>
              <w:marBottom w:val="1080"/>
              <w:divBdr>
                <w:top w:val="none" w:sz="0" w:space="0" w:color="auto"/>
                <w:left w:val="none" w:sz="0" w:space="0" w:color="auto"/>
                <w:bottom w:val="none" w:sz="0" w:space="0" w:color="auto"/>
                <w:right w:val="none" w:sz="0" w:space="0" w:color="auto"/>
              </w:divBdr>
              <w:divsChild>
                <w:div w:id="1016154420">
                  <w:marLeft w:val="0"/>
                  <w:marRight w:val="0"/>
                  <w:marTop w:val="0"/>
                  <w:marBottom w:val="0"/>
                  <w:divBdr>
                    <w:top w:val="none" w:sz="0" w:space="0" w:color="auto"/>
                    <w:left w:val="none" w:sz="0" w:space="0" w:color="auto"/>
                    <w:bottom w:val="none" w:sz="0" w:space="0" w:color="auto"/>
                    <w:right w:val="none" w:sz="0" w:space="0" w:color="auto"/>
                  </w:divBdr>
                  <w:divsChild>
                    <w:div w:id="481043750">
                      <w:marLeft w:val="360"/>
                      <w:marRight w:val="0"/>
                      <w:marTop w:val="0"/>
                      <w:marBottom w:val="0"/>
                      <w:divBdr>
                        <w:top w:val="none" w:sz="0" w:space="0" w:color="auto"/>
                        <w:left w:val="none" w:sz="0" w:space="0" w:color="auto"/>
                        <w:bottom w:val="none" w:sz="0" w:space="0" w:color="auto"/>
                        <w:right w:val="none" w:sz="0" w:space="0" w:color="auto"/>
                      </w:divBdr>
                      <w:divsChild>
                        <w:div w:id="1369837764">
                          <w:marLeft w:val="0"/>
                          <w:marRight w:val="0"/>
                          <w:marTop w:val="0"/>
                          <w:marBottom w:val="0"/>
                          <w:divBdr>
                            <w:top w:val="none" w:sz="0" w:space="0" w:color="auto"/>
                            <w:left w:val="none" w:sz="0" w:space="0" w:color="auto"/>
                            <w:bottom w:val="none" w:sz="0" w:space="0" w:color="auto"/>
                            <w:right w:val="none" w:sz="0" w:space="0" w:color="auto"/>
                          </w:divBdr>
                        </w:div>
                        <w:div w:id="1302808408">
                          <w:marLeft w:val="0"/>
                          <w:marRight w:val="0"/>
                          <w:marTop w:val="0"/>
                          <w:marBottom w:val="0"/>
                          <w:divBdr>
                            <w:top w:val="none" w:sz="0" w:space="0" w:color="auto"/>
                            <w:left w:val="none" w:sz="0" w:space="0" w:color="auto"/>
                            <w:bottom w:val="none" w:sz="0" w:space="0" w:color="auto"/>
                            <w:right w:val="none" w:sz="0" w:space="0" w:color="auto"/>
                          </w:divBdr>
                        </w:div>
                        <w:div w:id="523397093">
                          <w:marLeft w:val="0"/>
                          <w:marRight w:val="0"/>
                          <w:marTop w:val="0"/>
                          <w:marBottom w:val="0"/>
                          <w:divBdr>
                            <w:top w:val="none" w:sz="0" w:space="0" w:color="auto"/>
                            <w:left w:val="none" w:sz="0" w:space="0" w:color="auto"/>
                            <w:bottom w:val="none" w:sz="0" w:space="0" w:color="auto"/>
                            <w:right w:val="none" w:sz="0" w:space="0" w:color="auto"/>
                          </w:divBdr>
                        </w:div>
                        <w:div w:id="19298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03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hyperlink" Target="http://www.adgeo.net/content/lava/LAVA_Report_v1.1.pdf"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geodata-tlcgis.opendata.arcgis.com/datasets/future-land-use" TargetMode="External"/><Relationship Id="rId4" Type="http://schemas.openxmlformats.org/officeDocument/2006/relationships/settings" Target="settings.xml"/><Relationship Id="rId9" Type="http://schemas.openxmlformats.org/officeDocument/2006/relationships/hyperlink" Target="https://geodata-tlcgis.opendata.arcgis.com/datasets/existing-land-use-2018" TargetMode="External"/><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99" b="0" i="0" u="none" strike="noStrike" baseline="0">
                <a:solidFill>
                  <a:srgbClr val="000000"/>
                </a:solidFill>
                <a:latin typeface="Tahoma"/>
                <a:ea typeface="Tahoma"/>
                <a:cs typeface="Tahoma"/>
              </a:defRPr>
            </a:pPr>
            <a:r>
              <a:rPr lang="en-US"/>
              <a:t>Posterior Probability vs. Cumulative Area</a:t>
            </a:r>
          </a:p>
        </c:rich>
      </c:tx>
      <c:layout>
        <c:manualLayout>
          <c:xMode val="edge"/>
          <c:yMode val="edge"/>
          <c:x val="0.33109243697478991"/>
          <c:y val="1.9277108433734941E-2"/>
        </c:manualLayout>
      </c:layout>
      <c:overlay val="0"/>
      <c:spPr>
        <a:noFill/>
        <a:ln w="25358">
          <a:noFill/>
        </a:ln>
      </c:spPr>
    </c:title>
    <c:autoTitleDeleted val="0"/>
    <c:plotArea>
      <c:layout>
        <c:manualLayout>
          <c:layoutTarget val="inner"/>
          <c:xMode val="edge"/>
          <c:yMode val="edge"/>
          <c:x val="0.12773109243697478"/>
          <c:y val="0.13253012048192772"/>
          <c:w val="0.83865546218487397"/>
          <c:h val="0.73734939759036144"/>
        </c:manualLayout>
      </c:layout>
      <c:scatterChart>
        <c:scatterStyle val="smoothMarker"/>
        <c:varyColors val="0"/>
        <c:ser>
          <c:idx val="0"/>
          <c:order val="0"/>
          <c:spPr>
            <a:ln w="12679">
              <a:solidFill>
                <a:srgbClr val="000080"/>
              </a:solidFill>
              <a:prstDash val="solid"/>
            </a:ln>
          </c:spPr>
          <c:marker>
            <c:symbol val="diamond"/>
            <c:size val="4"/>
            <c:spPr>
              <a:solidFill>
                <a:srgbClr val="000080"/>
              </a:solidFill>
              <a:ln>
                <a:solidFill>
                  <a:srgbClr val="000080"/>
                </a:solidFill>
                <a:prstDash val="solid"/>
              </a:ln>
            </c:spPr>
          </c:marker>
          <c:xVal>
            <c:numRef>
              <c:f>sdmuc8_postprob!$T$2:$T$13</c:f>
              <c:numCache>
                <c:formatCode>General</c:formatCode>
                <c:ptCount val="12"/>
                <c:pt idx="0">
                  <c:v>27.44376259969598</c:v>
                </c:pt>
                <c:pt idx="1">
                  <c:v>27.775765493000577</c:v>
                </c:pt>
                <c:pt idx="2">
                  <c:v>35.685786585905866</c:v>
                </c:pt>
                <c:pt idx="3">
                  <c:v>40.430123453207649</c:v>
                </c:pt>
                <c:pt idx="4">
                  <c:v>40.882179298283134</c:v>
                </c:pt>
                <c:pt idx="5">
                  <c:v>42.378783175936718</c:v>
                </c:pt>
                <c:pt idx="6">
                  <c:v>65.422799298128197</c:v>
                </c:pt>
                <c:pt idx="7">
                  <c:v>66.041005002847641</c:v>
                </c:pt>
                <c:pt idx="8">
                  <c:v>81.779594194968595</c:v>
                </c:pt>
                <c:pt idx="9">
                  <c:v>87.576302550882787</c:v>
                </c:pt>
                <c:pt idx="10">
                  <c:v>88.889966881266687</c:v>
                </c:pt>
                <c:pt idx="11">
                  <c:v>100</c:v>
                </c:pt>
              </c:numCache>
            </c:numRef>
          </c:xVal>
          <c:yVal>
            <c:numRef>
              <c:f>sdmuc8_postprob!$M$2:$M$13</c:f>
              <c:numCache>
                <c:formatCode>0.00000000</c:formatCode>
                <c:ptCount val="12"/>
                <c:pt idx="0">
                  <c:v>5.8328999999999998E-4</c:v>
                </c:pt>
                <c:pt idx="1">
                  <c:v>8.4194999999999995E-4</c:v>
                </c:pt>
                <c:pt idx="2">
                  <c:v>1.5080200000000001E-3</c:v>
                </c:pt>
                <c:pt idx="3">
                  <c:v>1.6803899999999999E-3</c:v>
                </c:pt>
                <c:pt idx="4">
                  <c:v>2.1758699999999999E-3</c:v>
                </c:pt>
                <c:pt idx="5">
                  <c:v>4.3369100000000002E-3</c:v>
                </c:pt>
                <c:pt idx="6">
                  <c:v>7.3575300000000001E-3</c:v>
                </c:pt>
                <c:pt idx="7">
                  <c:v>1.0588449999999999E-2</c:v>
                </c:pt>
                <c:pt idx="8">
                  <c:v>1.8819800000000001E-2</c:v>
                </c:pt>
                <c:pt idx="9">
                  <c:v>2.0929440000000001E-2</c:v>
                </c:pt>
                <c:pt idx="10">
                  <c:v>2.6947519999999999E-2</c:v>
                </c:pt>
                <c:pt idx="11">
                  <c:v>5.2418819999999998E-2</c:v>
                </c:pt>
              </c:numCache>
            </c:numRef>
          </c:yVal>
          <c:smooth val="1"/>
        </c:ser>
        <c:dLbls>
          <c:showLegendKey val="0"/>
          <c:showVal val="0"/>
          <c:showCatName val="0"/>
          <c:showSerName val="0"/>
          <c:showPercent val="0"/>
          <c:showBubbleSize val="0"/>
        </c:dLbls>
        <c:axId val="255942016"/>
        <c:axId val="263592192"/>
      </c:scatterChart>
      <c:valAx>
        <c:axId val="255942016"/>
        <c:scaling>
          <c:orientation val="minMax"/>
          <c:max val="100"/>
        </c:scaling>
        <c:delete val="0"/>
        <c:axPos val="b"/>
        <c:title>
          <c:tx>
            <c:rich>
              <a:bodyPr/>
              <a:lstStyle/>
              <a:p>
                <a:pPr>
                  <a:defRPr sz="799" b="0" i="0" u="none" strike="noStrike" baseline="0">
                    <a:solidFill>
                      <a:srgbClr val="000000"/>
                    </a:solidFill>
                    <a:latin typeface="Tahoma"/>
                    <a:ea typeface="Tahoma"/>
                    <a:cs typeface="Tahoma"/>
                  </a:defRPr>
                </a:pPr>
                <a:r>
                  <a:rPr lang="en-US"/>
                  <a:t>Cumulative Area (%)</a:t>
                </a:r>
              </a:p>
            </c:rich>
          </c:tx>
          <c:layout>
            <c:manualLayout>
              <c:xMode val="edge"/>
              <c:yMode val="edge"/>
              <c:x val="0.45714285714285713"/>
              <c:y val="0.92530120481927713"/>
            </c:manualLayout>
          </c:layout>
          <c:overlay val="0"/>
          <c:spPr>
            <a:noFill/>
            <a:ln w="25358">
              <a:noFill/>
            </a:ln>
          </c:spPr>
        </c:title>
        <c:numFmt formatCode="General" sourceLinked="1"/>
        <c:majorTickMark val="out"/>
        <c:minorTickMark val="none"/>
        <c:tickLblPos val="nextTo"/>
        <c:spPr>
          <a:ln w="3170">
            <a:solidFill>
              <a:srgbClr val="000000"/>
            </a:solidFill>
            <a:prstDash val="solid"/>
          </a:ln>
        </c:spPr>
        <c:txPr>
          <a:bodyPr rot="0" vert="horz"/>
          <a:lstStyle/>
          <a:p>
            <a:pPr>
              <a:defRPr sz="799" b="0" i="0" u="none" strike="noStrike" baseline="0">
                <a:solidFill>
                  <a:srgbClr val="000000"/>
                </a:solidFill>
                <a:latin typeface="Tahoma"/>
                <a:ea typeface="Tahoma"/>
                <a:cs typeface="Tahoma"/>
              </a:defRPr>
            </a:pPr>
            <a:endParaRPr lang="en-US"/>
          </a:p>
        </c:txPr>
        <c:crossAx val="263592192"/>
        <c:crosses val="autoZero"/>
        <c:crossBetween val="midCat"/>
      </c:valAx>
      <c:valAx>
        <c:axId val="263592192"/>
        <c:scaling>
          <c:orientation val="minMax"/>
        </c:scaling>
        <c:delete val="0"/>
        <c:axPos val="l"/>
        <c:majorGridlines>
          <c:spPr>
            <a:ln w="3170">
              <a:solidFill>
                <a:srgbClr val="000000"/>
              </a:solidFill>
              <a:prstDash val="solid"/>
            </a:ln>
          </c:spPr>
        </c:majorGridlines>
        <c:title>
          <c:tx>
            <c:rich>
              <a:bodyPr/>
              <a:lstStyle/>
              <a:p>
                <a:pPr>
                  <a:defRPr sz="799" b="0" i="0" u="none" strike="noStrike" baseline="0">
                    <a:solidFill>
                      <a:srgbClr val="000000"/>
                    </a:solidFill>
                    <a:latin typeface="Tahoma"/>
                    <a:ea typeface="Tahoma"/>
                    <a:cs typeface="Tahoma"/>
                  </a:defRPr>
                </a:pPr>
                <a:r>
                  <a:rPr lang="en-US"/>
                  <a:t>Posterior Probability</a:t>
                </a:r>
              </a:p>
            </c:rich>
          </c:tx>
          <c:layout>
            <c:manualLayout>
              <c:xMode val="edge"/>
              <c:yMode val="edge"/>
              <c:x val="2.0168067226890758E-2"/>
              <c:y val="0.38313253012048193"/>
            </c:manualLayout>
          </c:layout>
          <c:overlay val="0"/>
          <c:spPr>
            <a:noFill/>
            <a:ln w="25358">
              <a:noFill/>
            </a:ln>
          </c:spPr>
        </c:title>
        <c:numFmt formatCode="0.0000" sourceLinked="0"/>
        <c:majorTickMark val="out"/>
        <c:minorTickMark val="none"/>
        <c:tickLblPos val="nextTo"/>
        <c:spPr>
          <a:ln w="3170">
            <a:solidFill>
              <a:srgbClr val="000000"/>
            </a:solidFill>
            <a:prstDash val="solid"/>
          </a:ln>
        </c:spPr>
        <c:txPr>
          <a:bodyPr rot="0" vert="horz"/>
          <a:lstStyle/>
          <a:p>
            <a:pPr>
              <a:defRPr sz="799" b="0" i="0" u="none" strike="noStrike" baseline="0">
                <a:solidFill>
                  <a:srgbClr val="000000"/>
                </a:solidFill>
                <a:latin typeface="Tahoma"/>
                <a:ea typeface="Tahoma"/>
                <a:cs typeface="Tahoma"/>
              </a:defRPr>
            </a:pPr>
            <a:endParaRPr lang="en-US"/>
          </a:p>
        </c:txPr>
        <c:crossAx val="255942016"/>
        <c:crosses val="autoZero"/>
        <c:crossBetween val="midCat"/>
      </c:valAx>
      <c:spPr>
        <a:gradFill rotWithShape="0">
          <a:gsLst>
            <a:gs pos="0">
              <a:srgbClr xmlns:mc="http://schemas.openxmlformats.org/markup-compatibility/2006" xmlns:a14="http://schemas.microsoft.com/office/drawing/2010/main" val="FFFFFF" mc:Ignorable="a14" a14:legacySpreadsheetColorIndex="9"/>
            </a:gs>
            <a:gs pos="100000">
              <a:srgbClr xmlns:mc="http://schemas.openxmlformats.org/markup-compatibility/2006" xmlns:a14="http://schemas.microsoft.com/office/drawing/2010/main" val="969696" mc:Ignorable="a14" a14:legacySpreadsheetColorIndex="55"/>
            </a:gs>
          </a:gsLst>
          <a:lin ang="5400000" scaled="1"/>
        </a:gradFill>
        <a:ln w="12679">
          <a:solidFill>
            <a:srgbClr val="000000"/>
          </a:solidFill>
          <a:prstDash val="solid"/>
        </a:ln>
      </c:spPr>
    </c:plotArea>
    <c:plotVisOnly val="1"/>
    <c:dispBlanksAs val="gap"/>
    <c:showDLblsOverMax val="0"/>
  </c:chart>
  <c:spPr>
    <a:noFill/>
    <a:ln>
      <a:noFill/>
    </a:ln>
  </c:spPr>
  <c:txPr>
    <a:bodyPr/>
    <a:lstStyle/>
    <a:p>
      <a:pPr>
        <a:defRPr sz="799" b="0" i="0" u="none" strike="noStrike" baseline="0">
          <a:solidFill>
            <a:srgbClr val="000000"/>
          </a:solidFill>
          <a:latin typeface="Tahoma"/>
          <a:ea typeface="Tahoma"/>
          <a:cs typeface="Tahoma"/>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0.1855</cdr:x>
      <cdr:y>0.84175</cdr:y>
    </cdr:from>
    <cdr:to>
      <cdr:x>0.91775</cdr:x>
      <cdr:y>0.84175</cdr:y>
    </cdr:to>
    <cdr:sp macro="" textlink="">
      <cdr:nvSpPr>
        <cdr:cNvPr id="1025" name="Line 1"/>
        <cdr:cNvSpPr>
          <a:spLocks xmlns:a="http://schemas.openxmlformats.org/drawingml/2006/main" noChangeShapeType="1"/>
        </cdr:cNvSpPr>
      </cdr:nvSpPr>
      <cdr:spPr bwMode="auto">
        <a:xfrm xmlns:a="http://schemas.openxmlformats.org/drawingml/2006/main">
          <a:off x="1051298" y="3327333"/>
          <a:ext cx="4149935" cy="0"/>
        </a:xfrm>
        <a:prstGeom xmlns:a="http://schemas.openxmlformats.org/drawingml/2006/main" prst="line">
          <a:avLst/>
        </a:prstGeom>
        <a:noFill xmlns:a="http://schemas.openxmlformats.org/drawingml/2006/main"/>
        <a:ln xmlns:a="http://schemas.openxmlformats.org/drawingml/2006/main" w="12700">
          <a:solidFill>
            <a:srgbClr xmlns:mc="http://schemas.openxmlformats.org/markup-compatibility/2006" xmlns:a14="http://schemas.microsoft.com/office/drawing/2010/main" val="008000" mc:Ignorable="a14" a14:legacySpreadsheetColorIndex="17"/>
          </a:solidFill>
          <a:prstDash val="dash"/>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0.18475</cdr:x>
      <cdr:y>0.74</cdr:y>
    </cdr:from>
    <cdr:to>
      <cdr:x>0.9185</cdr:x>
      <cdr:y>0.74</cdr:y>
    </cdr:to>
    <cdr:sp macro="" textlink="">
      <cdr:nvSpPr>
        <cdr:cNvPr id="1026" name="Line 2"/>
        <cdr:cNvSpPr>
          <a:spLocks xmlns:a="http://schemas.openxmlformats.org/drawingml/2006/main" noChangeShapeType="1"/>
        </cdr:cNvSpPr>
      </cdr:nvSpPr>
      <cdr:spPr bwMode="auto">
        <a:xfrm xmlns:a="http://schemas.openxmlformats.org/drawingml/2006/main">
          <a:off x="1047048" y="2925128"/>
          <a:ext cx="4158436" cy="0"/>
        </a:xfrm>
        <a:prstGeom xmlns:a="http://schemas.openxmlformats.org/drawingml/2006/main" prst="line">
          <a:avLst/>
        </a:prstGeom>
        <a:noFill xmlns:a="http://schemas.openxmlformats.org/drawingml/2006/main"/>
        <a:ln xmlns:a="http://schemas.openxmlformats.org/drawingml/2006/main" w="12700">
          <a:solidFill>
            <a:srgbClr xmlns:mc="http://schemas.openxmlformats.org/markup-compatibility/2006" xmlns:a14="http://schemas.microsoft.com/office/drawing/2010/main" val="008000" mc:Ignorable="a14" a14:legacySpreadsheetColorIndex="17"/>
          </a:solidFill>
          <a:prstDash val="dash"/>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0.18475</cdr:x>
      <cdr:y>0.541</cdr:y>
    </cdr:from>
    <cdr:to>
      <cdr:x>0.9185</cdr:x>
      <cdr:y>0.541</cdr:y>
    </cdr:to>
    <cdr:sp macro="" textlink="">
      <cdr:nvSpPr>
        <cdr:cNvPr id="1027" name="Line 3"/>
        <cdr:cNvSpPr>
          <a:spLocks xmlns:a="http://schemas.openxmlformats.org/drawingml/2006/main" noChangeShapeType="1"/>
        </cdr:cNvSpPr>
      </cdr:nvSpPr>
      <cdr:spPr bwMode="auto">
        <a:xfrm xmlns:a="http://schemas.openxmlformats.org/drawingml/2006/main">
          <a:off x="1047048" y="2138505"/>
          <a:ext cx="4158436" cy="0"/>
        </a:xfrm>
        <a:prstGeom xmlns:a="http://schemas.openxmlformats.org/drawingml/2006/main" prst="line">
          <a:avLst/>
        </a:prstGeom>
        <a:noFill xmlns:a="http://schemas.openxmlformats.org/drawingml/2006/main"/>
        <a:ln xmlns:a="http://schemas.openxmlformats.org/drawingml/2006/main" w="12700">
          <a:solidFill>
            <a:srgbClr xmlns:mc="http://schemas.openxmlformats.org/markup-compatibility/2006" xmlns:a14="http://schemas.microsoft.com/office/drawing/2010/main" val="008000" mc:Ignorable="a14" a14:legacySpreadsheetColorIndex="17"/>
          </a:solidFill>
          <a:prstDash val="dash"/>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0.1695</cdr:x>
      <cdr:y>0.55575</cdr:y>
    </cdr:from>
    <cdr:to>
      <cdr:x>0.17125</cdr:x>
      <cdr:y>0.7865</cdr:y>
    </cdr:to>
    <cdr:sp macro="" textlink="">
      <cdr:nvSpPr>
        <cdr:cNvPr id="1028" name="Line 4"/>
        <cdr:cNvSpPr>
          <a:spLocks xmlns:a="http://schemas.openxmlformats.org/drawingml/2006/main" noChangeShapeType="1"/>
        </cdr:cNvSpPr>
      </cdr:nvSpPr>
      <cdr:spPr bwMode="auto">
        <a:xfrm xmlns:a="http://schemas.openxmlformats.org/drawingml/2006/main" flipV="1">
          <a:off x="960620" y="2196810"/>
          <a:ext cx="9918" cy="912126"/>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type="triangle" w="med" len="me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0.13275</cdr:x>
      <cdr:y>0.50025</cdr:y>
    </cdr:from>
    <cdr:to>
      <cdr:x>0.294</cdr:x>
      <cdr:y>0.54125</cdr:y>
    </cdr:to>
    <cdr:sp macro="" textlink="">
      <cdr:nvSpPr>
        <cdr:cNvPr id="1029" name="Text Box 5"/>
        <cdr:cNvSpPr txBox="1">
          <a:spLocks xmlns:a="http://schemas.openxmlformats.org/drawingml/2006/main" noChangeArrowheads="1"/>
        </cdr:cNvSpPr>
      </cdr:nvSpPr>
      <cdr:spPr bwMode="auto">
        <a:xfrm xmlns:a="http://schemas.openxmlformats.org/drawingml/2006/main">
          <a:off x="752344" y="1977426"/>
          <a:ext cx="913864" cy="16206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18288" tIns="18288" rIns="0" bIns="0" anchor="t" upright="1">
          <a:spAutoFit/>
        </a:bodyPr>
        <a:lstStyle xmlns:a="http://schemas.openxmlformats.org/drawingml/2006/main"/>
        <a:p xmlns:a="http://schemas.openxmlformats.org/drawingml/2006/main">
          <a:pPr algn="l" rtl="0">
            <a:defRPr sz="1000"/>
          </a:pPr>
          <a:r>
            <a:rPr lang="en-US" sz="800" b="1" i="0" u="none" strike="noStrike" baseline="0">
              <a:solidFill>
                <a:srgbClr val="800000"/>
              </a:solidFill>
              <a:latin typeface="Tahoma"/>
              <a:ea typeface="Tahoma"/>
              <a:cs typeface="Tahoma"/>
            </a:rPr>
            <a:t>Most Vulnerable</a:t>
          </a:r>
        </a:p>
      </cdr:txBody>
    </cdr:sp>
  </cdr:relSizeAnchor>
  <cdr:relSizeAnchor xmlns:cdr="http://schemas.openxmlformats.org/drawingml/2006/chartDrawing">
    <cdr:from>
      <cdr:x>0.15025</cdr:x>
      <cdr:y>0.8005</cdr:y>
    </cdr:from>
    <cdr:to>
      <cdr:x>0.3065</cdr:x>
      <cdr:y>0.8415</cdr:y>
    </cdr:to>
    <cdr:sp macro="" textlink="">
      <cdr:nvSpPr>
        <cdr:cNvPr id="1030" name="Text Box 6"/>
        <cdr:cNvSpPr txBox="1">
          <a:spLocks xmlns:a="http://schemas.openxmlformats.org/drawingml/2006/main" noChangeArrowheads="1"/>
        </cdr:cNvSpPr>
      </cdr:nvSpPr>
      <cdr:spPr bwMode="auto">
        <a:xfrm xmlns:a="http://schemas.openxmlformats.org/drawingml/2006/main">
          <a:off x="851523" y="3164276"/>
          <a:ext cx="885527" cy="16206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18288" tIns="18288" rIns="0" bIns="0" anchor="t" upright="1">
          <a:spAutoFit/>
        </a:bodyPr>
        <a:lstStyle xmlns:a="http://schemas.openxmlformats.org/drawingml/2006/main"/>
        <a:p xmlns:a="http://schemas.openxmlformats.org/drawingml/2006/main">
          <a:pPr algn="l" rtl="0">
            <a:defRPr sz="1000"/>
          </a:pPr>
          <a:r>
            <a:rPr lang="en-US" sz="800" b="1" i="0" u="none" strike="noStrike" baseline="0">
              <a:solidFill>
                <a:srgbClr val="000080"/>
              </a:solidFill>
              <a:latin typeface="Tahoma"/>
              <a:ea typeface="Tahoma"/>
              <a:cs typeface="Tahoma"/>
            </a:rPr>
            <a:t>Less Vulnerable</a:t>
          </a:r>
        </a:p>
      </cdr:txBody>
    </cdr:sp>
  </cdr:relSizeAnchor>
  <cdr:relSizeAnchor xmlns:cdr="http://schemas.openxmlformats.org/drawingml/2006/chartDrawing">
    <cdr:from>
      <cdr:x>0.73</cdr:x>
      <cdr:y>0.513</cdr:y>
    </cdr:from>
    <cdr:to>
      <cdr:x>0.83075</cdr:x>
      <cdr:y>0.55625</cdr:y>
    </cdr:to>
    <cdr:sp macro="" textlink="">
      <cdr:nvSpPr>
        <cdr:cNvPr id="1031" name="Text Box 7"/>
        <cdr:cNvSpPr txBox="1">
          <a:spLocks xmlns:a="http://schemas.openxmlformats.org/drawingml/2006/main" noChangeArrowheads="1"/>
        </cdr:cNvSpPr>
      </cdr:nvSpPr>
      <cdr:spPr bwMode="auto">
        <a:xfrm xmlns:a="http://schemas.openxmlformats.org/drawingml/2006/main">
          <a:off x="4137184" y="2027825"/>
          <a:ext cx="570988" cy="170962"/>
        </a:xfrm>
        <a:prstGeom xmlns:a="http://schemas.openxmlformats.org/drawingml/2006/main" prst="rect">
          <a:avLst/>
        </a:prstGeom>
        <a:gradFill xmlns:a="http://schemas.openxmlformats.org/drawingml/2006/main" rotWithShape="1">
          <a:gsLst>
            <a:gs pos="0">
              <a:srgbClr xmlns:mc="http://schemas.openxmlformats.org/markup-compatibility/2006" xmlns:a14="http://schemas.microsoft.com/office/drawing/2010/main" val="FFFFFF" mc:Ignorable="a14" a14:legacySpreadsheetColorIndex="65"/>
            </a:gs>
            <a:gs pos="100000">
              <a:srgbClr xmlns:mc="http://schemas.openxmlformats.org/markup-compatibility/2006" xmlns:a14="http://schemas.microsoft.com/office/drawing/2010/main" val="010101" mc:Ignorable="a14" a14:legacySpreadsheetColorIndex="65">
                <a:gamma/>
                <a:shade val="66275"/>
                <a:invGamma/>
              </a:srgbClr>
            </a:gs>
          </a:gsLst>
          <a:lin ang="5400000" scaled="1"/>
        </a:gra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18288" tIns="18288" rIns="0" bIns="0" anchor="t" upright="1">
          <a:spAutoFit/>
        </a:bodyPr>
        <a:lstStyle xmlns:a="http://schemas.openxmlformats.org/drawingml/2006/main"/>
        <a:p xmlns:a="http://schemas.openxmlformats.org/drawingml/2006/main">
          <a:pPr algn="l" rtl="0">
            <a:defRPr sz="1000"/>
          </a:pPr>
          <a:r>
            <a:rPr lang="en-US" sz="800" b="1" i="0" u="none" strike="noStrike" baseline="0">
              <a:solidFill>
                <a:srgbClr val="000000"/>
              </a:solidFill>
              <a:latin typeface="Verdana"/>
              <a:ea typeface="Verdana"/>
            </a:rPr>
            <a:t>0.02707</a:t>
          </a:r>
        </a:p>
      </cdr:txBody>
    </cdr:sp>
  </cdr:relSizeAnchor>
  <cdr:relSizeAnchor xmlns:cdr="http://schemas.openxmlformats.org/drawingml/2006/chartDrawing">
    <cdr:from>
      <cdr:x>0.55125</cdr:x>
      <cdr:y>0.71775</cdr:y>
    </cdr:from>
    <cdr:to>
      <cdr:x>0.652</cdr:x>
      <cdr:y>0.761</cdr:y>
    </cdr:to>
    <cdr:sp macro="" textlink="">
      <cdr:nvSpPr>
        <cdr:cNvPr id="1032" name="Text Box 8"/>
        <cdr:cNvSpPr txBox="1">
          <a:spLocks xmlns:a="http://schemas.openxmlformats.org/drawingml/2006/main" noChangeArrowheads="1"/>
        </cdr:cNvSpPr>
      </cdr:nvSpPr>
      <cdr:spPr bwMode="auto">
        <a:xfrm xmlns:a="http://schemas.openxmlformats.org/drawingml/2006/main">
          <a:off x="3124140" y="2837176"/>
          <a:ext cx="570989" cy="170962"/>
        </a:xfrm>
        <a:prstGeom xmlns:a="http://schemas.openxmlformats.org/drawingml/2006/main" prst="rect">
          <a:avLst/>
        </a:prstGeom>
        <a:gradFill xmlns:a="http://schemas.openxmlformats.org/drawingml/2006/main" rotWithShape="1">
          <a:gsLst>
            <a:gs pos="0">
              <a:srgbClr xmlns:mc="http://schemas.openxmlformats.org/markup-compatibility/2006" xmlns:a14="http://schemas.microsoft.com/office/drawing/2010/main" val="FFFFFF" mc:Ignorable="a14" a14:legacySpreadsheetColorIndex="65"/>
            </a:gs>
            <a:gs pos="100000">
              <a:srgbClr xmlns:mc="http://schemas.openxmlformats.org/markup-compatibility/2006" xmlns:a14="http://schemas.microsoft.com/office/drawing/2010/main" val="010101" mc:Ignorable="a14" a14:legacySpreadsheetColorIndex="65">
                <a:gamma/>
                <a:shade val="66275"/>
                <a:invGamma/>
              </a:srgbClr>
            </a:gs>
          </a:gsLst>
          <a:lin ang="5400000" scaled="1"/>
        </a:gra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18288" tIns="18288" rIns="0" bIns="0" anchor="t" upright="1">
          <a:spAutoFit/>
        </a:bodyPr>
        <a:lstStyle xmlns:a="http://schemas.openxmlformats.org/drawingml/2006/main"/>
        <a:p xmlns:a="http://schemas.openxmlformats.org/drawingml/2006/main">
          <a:pPr algn="l" rtl="0">
            <a:defRPr sz="1000"/>
          </a:pPr>
          <a:r>
            <a:rPr lang="en-US" sz="800" b="1" i="0" u="none" strike="noStrike" baseline="0">
              <a:solidFill>
                <a:srgbClr val="000000"/>
              </a:solidFill>
              <a:latin typeface="Verdana"/>
              <a:ea typeface="Verdana"/>
            </a:rPr>
            <a:t>0.01030</a:t>
          </a:r>
        </a:p>
      </cdr:txBody>
    </cdr:sp>
  </cdr:relSizeAnchor>
  <cdr:relSizeAnchor xmlns:cdr="http://schemas.openxmlformats.org/drawingml/2006/chartDrawing">
    <cdr:from>
      <cdr:x>0.4825</cdr:x>
      <cdr:y>0.82925</cdr:y>
    </cdr:from>
    <cdr:to>
      <cdr:x>0.58325</cdr:x>
      <cdr:y>0.8725</cdr:y>
    </cdr:to>
    <cdr:sp macro="" textlink="">
      <cdr:nvSpPr>
        <cdr:cNvPr id="1033" name="Text Box 9"/>
        <cdr:cNvSpPr txBox="1">
          <a:spLocks xmlns:a="http://schemas.openxmlformats.org/drawingml/2006/main" noChangeArrowheads="1"/>
        </cdr:cNvSpPr>
      </cdr:nvSpPr>
      <cdr:spPr bwMode="auto">
        <a:xfrm xmlns:a="http://schemas.openxmlformats.org/drawingml/2006/main">
          <a:off x="2734508" y="3277922"/>
          <a:ext cx="570988" cy="170961"/>
        </a:xfrm>
        <a:prstGeom xmlns:a="http://schemas.openxmlformats.org/drawingml/2006/main" prst="rect">
          <a:avLst/>
        </a:prstGeom>
        <a:gradFill xmlns:a="http://schemas.openxmlformats.org/drawingml/2006/main" rotWithShape="1">
          <a:gsLst>
            <a:gs pos="0">
              <a:srgbClr xmlns:mc="http://schemas.openxmlformats.org/markup-compatibility/2006" xmlns:a14="http://schemas.microsoft.com/office/drawing/2010/main" val="FFFFFF" mc:Ignorable="a14" a14:legacySpreadsheetColorIndex="65"/>
            </a:gs>
            <a:gs pos="100000">
              <a:srgbClr xmlns:mc="http://schemas.openxmlformats.org/markup-compatibility/2006" xmlns:a14="http://schemas.microsoft.com/office/drawing/2010/main" val="010101" mc:Ignorable="a14" a14:legacySpreadsheetColorIndex="65">
                <a:gamma/>
                <a:shade val="66275"/>
                <a:invGamma/>
              </a:srgbClr>
            </a:gs>
          </a:gsLst>
          <a:lin ang="5400000" scaled="1"/>
        </a:gra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18288" tIns="18288" rIns="0" bIns="0" anchor="t" upright="1">
          <a:spAutoFit/>
        </a:bodyPr>
        <a:lstStyle xmlns:a="http://schemas.openxmlformats.org/drawingml/2006/main"/>
        <a:p xmlns:a="http://schemas.openxmlformats.org/drawingml/2006/main">
          <a:pPr algn="l" rtl="0">
            <a:defRPr sz="1000"/>
          </a:pPr>
          <a:r>
            <a:rPr lang="en-US" sz="800" b="1" i="0" u="none" strike="noStrike" baseline="0">
              <a:solidFill>
                <a:srgbClr val="000000"/>
              </a:solidFill>
              <a:latin typeface="Verdana"/>
              <a:ea typeface="Verdana"/>
            </a:rPr>
            <a:t>0.00219</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805</TotalTime>
  <Pages>10</Pages>
  <Words>2176</Words>
  <Characters>12405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24</cp:revision>
  <dcterms:created xsi:type="dcterms:W3CDTF">2020-02-15T13:47:00Z</dcterms:created>
  <dcterms:modified xsi:type="dcterms:W3CDTF">2020-03-01T15:33:00Z</dcterms:modified>
</cp:coreProperties>
</file>